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15BAF" w14:textId="0BCBF837" w:rsidR="00B2454F" w:rsidRPr="009E21C9" w:rsidRDefault="00B2454F" w:rsidP="00B2454F">
      <w:pPr>
        <w:jc w:val="center"/>
        <w:rPr>
          <w:rFonts w:ascii="Times New Roman" w:hAnsi="Times New Roman" w:cs="Times New Roman"/>
          <w:bCs/>
        </w:rPr>
      </w:pPr>
      <w:r w:rsidRPr="009E21C9">
        <w:rPr>
          <w:rFonts w:ascii="Times New Roman" w:hAnsi="Times New Roman" w:cs="Times New Roman"/>
          <w:bCs/>
        </w:rPr>
        <w:t>Doplněk stravy</w:t>
      </w:r>
    </w:p>
    <w:p w14:paraId="0F770A37" w14:textId="1DFF6327" w:rsidR="00B2454F" w:rsidRPr="009E21C9" w:rsidRDefault="00B37A2C" w:rsidP="00B2454F">
      <w:pPr>
        <w:jc w:val="center"/>
        <w:rPr>
          <w:rFonts w:ascii="Times New Roman" w:hAnsi="Times New Roman" w:cs="Times New Roman"/>
          <w:b/>
        </w:rPr>
      </w:pPr>
      <w:proofErr w:type="spellStart"/>
      <w:r w:rsidRPr="009E21C9">
        <w:rPr>
          <w:rFonts w:ascii="Times New Roman" w:hAnsi="Times New Roman" w:cs="Times New Roman"/>
          <w:b/>
        </w:rPr>
        <w:t>Compliflora</w:t>
      </w:r>
      <w:proofErr w:type="spellEnd"/>
      <w:r w:rsidRPr="009E21C9">
        <w:rPr>
          <w:rFonts w:ascii="Times New Roman" w:hAnsi="Times New Roman" w:cs="Times New Roman"/>
          <w:b/>
        </w:rPr>
        <w:t xml:space="preserve"> </w:t>
      </w:r>
      <w:r w:rsidR="00FD2630" w:rsidRPr="009E21C9">
        <w:rPr>
          <w:rFonts w:ascii="Times New Roman" w:hAnsi="Times New Roman" w:cs="Times New Roman"/>
          <w:b/>
        </w:rPr>
        <w:t xml:space="preserve">ATB </w:t>
      </w:r>
      <w:proofErr w:type="spellStart"/>
      <w:r w:rsidR="00FD2630" w:rsidRPr="009E21C9">
        <w:rPr>
          <w:rFonts w:ascii="Times New Roman" w:hAnsi="Times New Roman" w:cs="Times New Roman"/>
          <w:b/>
        </w:rPr>
        <w:t>complex</w:t>
      </w:r>
      <w:proofErr w:type="spellEnd"/>
    </w:p>
    <w:p w14:paraId="193C7BCF" w14:textId="6EEC3F66" w:rsidR="00DA325D" w:rsidRPr="009E21C9" w:rsidRDefault="00B2287F" w:rsidP="00025FB6">
      <w:pPr>
        <w:jc w:val="center"/>
        <w:rPr>
          <w:rFonts w:ascii="Times New Roman" w:hAnsi="Times New Roman" w:cs="Times New Roman"/>
        </w:rPr>
      </w:pPr>
      <w:r w:rsidRPr="009E21C9">
        <w:rPr>
          <w:rFonts w:ascii="Times New Roman" w:hAnsi="Times New Roman" w:cs="Times New Roman"/>
        </w:rPr>
        <w:t xml:space="preserve">komplexní </w:t>
      </w:r>
      <w:proofErr w:type="spellStart"/>
      <w:r w:rsidRPr="009E21C9">
        <w:rPr>
          <w:rFonts w:ascii="Times New Roman" w:hAnsi="Times New Roman" w:cs="Times New Roman"/>
        </w:rPr>
        <w:t>symbiotikum</w:t>
      </w:r>
      <w:proofErr w:type="spellEnd"/>
      <w:r w:rsidRPr="009E21C9">
        <w:rPr>
          <w:rFonts w:ascii="Times New Roman" w:hAnsi="Times New Roman" w:cs="Times New Roman"/>
        </w:rPr>
        <w:t xml:space="preserve"> s kvasinkami</w:t>
      </w:r>
    </w:p>
    <w:p w14:paraId="0485ED35" w14:textId="50465755" w:rsidR="00364A47" w:rsidRPr="009E21C9" w:rsidRDefault="003D5136" w:rsidP="003D5136">
      <w:pPr>
        <w:rPr>
          <w:rFonts w:ascii="Times New Roman" w:hAnsi="Times New Roman" w:cs="Times New Roman"/>
        </w:rPr>
      </w:pPr>
      <w:proofErr w:type="spellStart"/>
      <w:r w:rsidRPr="009E21C9">
        <w:rPr>
          <w:rFonts w:ascii="Times New Roman" w:hAnsi="Times New Roman" w:cs="Times New Roman"/>
        </w:rPr>
        <w:t>Compliflora</w:t>
      </w:r>
      <w:proofErr w:type="spellEnd"/>
      <w:r w:rsidRPr="009E21C9">
        <w:rPr>
          <w:rFonts w:ascii="Times New Roman" w:hAnsi="Times New Roman" w:cs="Times New Roman"/>
        </w:rPr>
        <w:t xml:space="preserve"> </w:t>
      </w:r>
      <w:r w:rsidR="007B4857" w:rsidRPr="009E21C9">
        <w:rPr>
          <w:rFonts w:ascii="Times New Roman" w:hAnsi="Times New Roman" w:cs="Times New Roman"/>
        </w:rPr>
        <w:t xml:space="preserve">ATB </w:t>
      </w:r>
      <w:proofErr w:type="spellStart"/>
      <w:r w:rsidR="007B4857" w:rsidRPr="009E21C9">
        <w:rPr>
          <w:rFonts w:ascii="Times New Roman" w:hAnsi="Times New Roman" w:cs="Times New Roman"/>
        </w:rPr>
        <w:t>complex</w:t>
      </w:r>
      <w:proofErr w:type="spellEnd"/>
      <w:r w:rsidR="00203BAD" w:rsidRPr="009E21C9">
        <w:rPr>
          <w:rFonts w:ascii="Times New Roman" w:hAnsi="Times New Roman" w:cs="Times New Roman"/>
        </w:rPr>
        <w:t xml:space="preserve"> </w:t>
      </w:r>
      <w:r w:rsidR="007B4857" w:rsidRPr="009E21C9">
        <w:rPr>
          <w:rFonts w:ascii="Times New Roman" w:hAnsi="Times New Roman" w:cs="Times New Roman"/>
        </w:rPr>
        <w:t>je</w:t>
      </w:r>
      <w:r w:rsidR="0095501D" w:rsidRPr="009E21C9">
        <w:rPr>
          <w:rFonts w:ascii="Times New Roman" w:hAnsi="Times New Roman" w:cs="Times New Roman"/>
        </w:rPr>
        <w:t xml:space="preserve"> </w:t>
      </w:r>
      <w:proofErr w:type="spellStart"/>
      <w:r w:rsidR="007B4857" w:rsidRPr="009E21C9">
        <w:rPr>
          <w:rFonts w:ascii="Times New Roman" w:hAnsi="Times New Roman" w:cs="Times New Roman"/>
        </w:rPr>
        <w:t>symbiotikum</w:t>
      </w:r>
      <w:proofErr w:type="spellEnd"/>
      <w:r w:rsidR="00497A7B" w:rsidRPr="009E21C9">
        <w:rPr>
          <w:rFonts w:ascii="Times New Roman" w:hAnsi="Times New Roman" w:cs="Times New Roman"/>
        </w:rPr>
        <w:t xml:space="preserve"> </w:t>
      </w:r>
      <w:r w:rsidRPr="009E21C9">
        <w:rPr>
          <w:rFonts w:ascii="Times New Roman" w:hAnsi="Times New Roman" w:cs="Times New Roman"/>
        </w:rPr>
        <w:t>obsahuj</w:t>
      </w:r>
      <w:r w:rsidR="00497A7B" w:rsidRPr="009E21C9">
        <w:rPr>
          <w:rFonts w:ascii="Times New Roman" w:hAnsi="Times New Roman" w:cs="Times New Roman"/>
        </w:rPr>
        <w:t>ící</w:t>
      </w:r>
      <w:r w:rsidRPr="009E21C9">
        <w:rPr>
          <w:rFonts w:ascii="Times New Roman" w:hAnsi="Times New Roman" w:cs="Times New Roman"/>
        </w:rPr>
        <w:t xml:space="preserve"> </w:t>
      </w:r>
      <w:r w:rsidR="00CC6989" w:rsidRPr="009E21C9">
        <w:rPr>
          <w:rFonts w:ascii="Times New Roman" w:hAnsi="Times New Roman" w:cs="Times New Roman"/>
        </w:rPr>
        <w:t>živé kvasinkové kultury (</w:t>
      </w:r>
      <w:proofErr w:type="spellStart"/>
      <w:r w:rsidR="00CC6989" w:rsidRPr="009E21C9">
        <w:rPr>
          <w:rFonts w:ascii="Times New Roman" w:hAnsi="Times New Roman" w:cs="Times New Roman"/>
          <w:i/>
          <w:iCs/>
        </w:rPr>
        <w:t>Saccharomyces</w:t>
      </w:r>
      <w:proofErr w:type="spellEnd"/>
      <w:r w:rsidR="00CC6989" w:rsidRPr="009E21C9">
        <w:rPr>
          <w:rFonts w:ascii="Times New Roman" w:hAnsi="Times New Roman" w:cs="Times New Roman"/>
          <w:i/>
          <w:iCs/>
        </w:rPr>
        <w:t xml:space="preserve"> </w:t>
      </w:r>
      <w:proofErr w:type="spellStart"/>
      <w:r w:rsidR="00CC6989" w:rsidRPr="009E21C9">
        <w:rPr>
          <w:rFonts w:ascii="Times New Roman" w:hAnsi="Times New Roman" w:cs="Times New Roman"/>
          <w:i/>
          <w:iCs/>
        </w:rPr>
        <w:t>boulardii</w:t>
      </w:r>
      <w:proofErr w:type="spellEnd"/>
      <w:r w:rsidR="00CC6989" w:rsidRPr="009E21C9">
        <w:rPr>
          <w:rFonts w:ascii="Times New Roman" w:hAnsi="Times New Roman" w:cs="Times New Roman"/>
        </w:rPr>
        <w:t xml:space="preserve">) a dva kmeny bakterií mléčného kvašení </w:t>
      </w:r>
      <w:r w:rsidR="00CC6989" w:rsidRPr="009E21C9">
        <w:rPr>
          <w:rFonts w:ascii="Times New Roman" w:hAnsi="Times New Roman" w:cs="Times New Roman"/>
          <w:i/>
          <w:iCs/>
        </w:rPr>
        <w:t>(</w:t>
      </w:r>
      <w:proofErr w:type="spellStart"/>
      <w:r w:rsidR="00CC6989" w:rsidRPr="009E21C9">
        <w:rPr>
          <w:rFonts w:ascii="Times New Roman" w:hAnsi="Times New Roman" w:cs="Times New Roman"/>
          <w:i/>
          <w:iCs/>
        </w:rPr>
        <w:t>Lactobacillus</w:t>
      </w:r>
      <w:proofErr w:type="spellEnd"/>
      <w:r w:rsidR="00CC6989" w:rsidRPr="009E21C9">
        <w:rPr>
          <w:rFonts w:ascii="Times New Roman" w:hAnsi="Times New Roman" w:cs="Times New Roman"/>
          <w:i/>
          <w:iCs/>
        </w:rPr>
        <w:t xml:space="preserve"> </w:t>
      </w:r>
      <w:proofErr w:type="spellStart"/>
      <w:r w:rsidR="00CC6989" w:rsidRPr="009E21C9">
        <w:rPr>
          <w:rFonts w:ascii="Times New Roman" w:hAnsi="Times New Roman" w:cs="Times New Roman"/>
          <w:i/>
          <w:iCs/>
        </w:rPr>
        <w:t>rhamnosus</w:t>
      </w:r>
      <w:proofErr w:type="spellEnd"/>
      <w:r w:rsidR="00CC6989" w:rsidRPr="009E21C9">
        <w:rPr>
          <w:rFonts w:ascii="Times New Roman" w:hAnsi="Times New Roman" w:cs="Times New Roman"/>
        </w:rPr>
        <w:t xml:space="preserve"> GG a </w:t>
      </w:r>
      <w:proofErr w:type="spellStart"/>
      <w:r w:rsidR="00CC6989" w:rsidRPr="009E21C9">
        <w:rPr>
          <w:rFonts w:ascii="Times New Roman" w:hAnsi="Times New Roman" w:cs="Times New Roman"/>
          <w:i/>
          <w:iCs/>
        </w:rPr>
        <w:t>Bifidobacterium</w:t>
      </w:r>
      <w:proofErr w:type="spellEnd"/>
      <w:r w:rsidR="00CC6989" w:rsidRPr="009E21C9">
        <w:rPr>
          <w:rFonts w:ascii="Times New Roman" w:hAnsi="Times New Roman" w:cs="Times New Roman"/>
          <w:i/>
          <w:iCs/>
        </w:rPr>
        <w:t xml:space="preserve"> </w:t>
      </w:r>
      <w:proofErr w:type="spellStart"/>
      <w:r w:rsidR="00CC6989" w:rsidRPr="009E21C9">
        <w:rPr>
          <w:rFonts w:ascii="Times New Roman" w:hAnsi="Times New Roman" w:cs="Times New Roman"/>
          <w:i/>
          <w:iCs/>
        </w:rPr>
        <w:t>lactis</w:t>
      </w:r>
      <w:proofErr w:type="spellEnd"/>
      <w:r w:rsidR="00CC6989" w:rsidRPr="009E21C9">
        <w:rPr>
          <w:rFonts w:ascii="Times New Roman" w:hAnsi="Times New Roman" w:cs="Times New Roman"/>
        </w:rPr>
        <w:t xml:space="preserve">). Produkt obsahuje také </w:t>
      </w:r>
      <w:proofErr w:type="spellStart"/>
      <w:r w:rsidR="00CC6989" w:rsidRPr="009E21C9">
        <w:rPr>
          <w:rFonts w:ascii="Times New Roman" w:hAnsi="Times New Roman" w:cs="Times New Roman"/>
        </w:rPr>
        <w:t>prebiotikum</w:t>
      </w:r>
      <w:proofErr w:type="spellEnd"/>
      <w:r w:rsidR="00CC6989" w:rsidRPr="009E21C9">
        <w:rPr>
          <w:rFonts w:ascii="Times New Roman" w:hAnsi="Times New Roman" w:cs="Times New Roman"/>
        </w:rPr>
        <w:t xml:space="preserve"> </w:t>
      </w:r>
      <w:proofErr w:type="spellStart"/>
      <w:r w:rsidR="00CC6989" w:rsidRPr="009E21C9">
        <w:rPr>
          <w:rFonts w:ascii="Times New Roman" w:hAnsi="Times New Roman" w:cs="Times New Roman"/>
        </w:rPr>
        <w:t>oligofruktózu</w:t>
      </w:r>
      <w:proofErr w:type="spellEnd"/>
      <w:r w:rsidR="00CC6989" w:rsidRPr="009E21C9">
        <w:rPr>
          <w:rFonts w:ascii="Times New Roman" w:hAnsi="Times New Roman" w:cs="Times New Roman"/>
        </w:rPr>
        <w:t xml:space="preserve">. </w:t>
      </w:r>
    </w:p>
    <w:p w14:paraId="7C2E523D" w14:textId="5F9C23D7" w:rsidR="0047685D" w:rsidRPr="009E21C9" w:rsidRDefault="00497A7B" w:rsidP="003D5136">
      <w:pPr>
        <w:rPr>
          <w:rFonts w:ascii="Times New Roman" w:hAnsi="Times New Roman" w:cs="Times New Roman"/>
        </w:rPr>
      </w:pPr>
      <w:r w:rsidRPr="009E21C9">
        <w:rPr>
          <w:rFonts w:ascii="Times New Roman" w:hAnsi="Times New Roman" w:cs="Times New Roman"/>
        </w:rPr>
        <w:t>Probiotika jsou živé mikroorganizmy, které podávané v dostatečném množství mají pozitivní vliv na hostitele (definice FAO/WHO, 2002)</w:t>
      </w:r>
      <w:r w:rsidR="00694952" w:rsidRPr="009E21C9">
        <w:rPr>
          <w:rStyle w:val="Znakapoznpodarou"/>
          <w:rFonts w:ascii="Times New Roman" w:hAnsi="Times New Roman" w:cs="Times New Roman"/>
        </w:rPr>
        <w:footnoteReference w:id="1"/>
      </w:r>
      <w:r w:rsidRPr="009E21C9">
        <w:rPr>
          <w:rFonts w:ascii="Times New Roman" w:hAnsi="Times New Roman" w:cs="Times New Roman"/>
        </w:rPr>
        <w:t>.</w:t>
      </w:r>
      <w:r w:rsidR="00683FAD" w:rsidRPr="009E21C9">
        <w:rPr>
          <w:rFonts w:ascii="Times New Roman" w:hAnsi="Times New Roman" w:cs="Times New Roman"/>
        </w:rPr>
        <w:t xml:space="preserve"> </w:t>
      </w:r>
      <w:r w:rsidR="00D55781" w:rsidRPr="009E21C9">
        <w:rPr>
          <w:rFonts w:ascii="Times New Roman" w:hAnsi="Times New Roman" w:cs="Times New Roman"/>
        </w:rPr>
        <w:t>Nejčastěji používan</w:t>
      </w:r>
      <w:r w:rsidR="0067206B" w:rsidRPr="009E21C9">
        <w:rPr>
          <w:rFonts w:ascii="Times New Roman" w:hAnsi="Times New Roman" w:cs="Times New Roman"/>
        </w:rPr>
        <w:t>ými</w:t>
      </w:r>
      <w:r w:rsidR="00D87E59" w:rsidRPr="009E21C9">
        <w:rPr>
          <w:rFonts w:ascii="Times New Roman" w:hAnsi="Times New Roman" w:cs="Times New Roman"/>
        </w:rPr>
        <w:t> probiotick</w:t>
      </w:r>
      <w:r w:rsidR="0067206B" w:rsidRPr="009E21C9">
        <w:rPr>
          <w:rFonts w:ascii="Times New Roman" w:hAnsi="Times New Roman" w:cs="Times New Roman"/>
        </w:rPr>
        <w:t>ými</w:t>
      </w:r>
      <w:r w:rsidR="00D87E59" w:rsidRPr="009E21C9">
        <w:rPr>
          <w:rFonts w:ascii="Times New Roman" w:hAnsi="Times New Roman" w:cs="Times New Roman"/>
        </w:rPr>
        <w:t> kultur</w:t>
      </w:r>
      <w:r w:rsidR="0067206B" w:rsidRPr="009E21C9">
        <w:rPr>
          <w:rFonts w:ascii="Times New Roman" w:hAnsi="Times New Roman" w:cs="Times New Roman"/>
        </w:rPr>
        <w:t>ami</w:t>
      </w:r>
      <w:r w:rsidR="00D87E59" w:rsidRPr="009E21C9">
        <w:rPr>
          <w:rFonts w:ascii="Times New Roman" w:hAnsi="Times New Roman" w:cs="Times New Roman"/>
        </w:rPr>
        <w:t xml:space="preserve"> jsou bakterie přirozeně </w:t>
      </w:r>
      <w:r w:rsidR="0067206B" w:rsidRPr="009E21C9">
        <w:rPr>
          <w:rFonts w:ascii="Times New Roman" w:hAnsi="Times New Roman" w:cs="Times New Roman"/>
        </w:rPr>
        <w:t>obývající</w:t>
      </w:r>
      <w:r w:rsidR="00D87E59" w:rsidRPr="009E21C9">
        <w:rPr>
          <w:rFonts w:ascii="Times New Roman" w:hAnsi="Times New Roman" w:cs="Times New Roman"/>
        </w:rPr>
        <w:t xml:space="preserve"> lidský trávicí trakt</w:t>
      </w:r>
      <w:r w:rsidR="00900103" w:rsidRPr="009E21C9">
        <w:rPr>
          <w:rFonts w:ascii="Times New Roman" w:hAnsi="Times New Roman" w:cs="Times New Roman"/>
        </w:rPr>
        <w:t xml:space="preserve">, jako </w:t>
      </w:r>
      <w:r w:rsidR="0029158E" w:rsidRPr="009E21C9">
        <w:rPr>
          <w:rFonts w:ascii="Times New Roman" w:hAnsi="Times New Roman" w:cs="Times New Roman"/>
        </w:rPr>
        <w:t xml:space="preserve">jsou </w:t>
      </w:r>
      <w:r w:rsidR="00D87E59" w:rsidRPr="009E21C9">
        <w:rPr>
          <w:rFonts w:ascii="Times New Roman" w:hAnsi="Times New Roman" w:cs="Times New Roman"/>
        </w:rPr>
        <w:t>bakterie rod</w:t>
      </w:r>
      <w:r w:rsidR="0059512B" w:rsidRPr="009E21C9">
        <w:rPr>
          <w:rFonts w:ascii="Times New Roman" w:hAnsi="Times New Roman" w:cs="Times New Roman"/>
        </w:rPr>
        <w:t>u</w:t>
      </w:r>
      <w:r w:rsidR="00D87E59" w:rsidRPr="009E21C9">
        <w:rPr>
          <w:rFonts w:ascii="Times New Roman" w:hAnsi="Times New Roman" w:cs="Times New Roman"/>
        </w:rPr>
        <w:t> </w:t>
      </w:r>
      <w:proofErr w:type="spellStart"/>
      <w:r w:rsidR="00D87E59" w:rsidRPr="009E21C9">
        <w:rPr>
          <w:rFonts w:ascii="Times New Roman" w:hAnsi="Times New Roman" w:cs="Times New Roman"/>
        </w:rPr>
        <w:t>Lactobacillus</w:t>
      </w:r>
      <w:proofErr w:type="spellEnd"/>
      <w:r w:rsidR="00D87E59" w:rsidRPr="009E21C9">
        <w:rPr>
          <w:rFonts w:ascii="Times New Roman" w:hAnsi="Times New Roman" w:cs="Times New Roman"/>
        </w:rPr>
        <w:t xml:space="preserve"> a </w:t>
      </w:r>
      <w:proofErr w:type="spellStart"/>
      <w:r w:rsidR="00D87E59" w:rsidRPr="009E21C9">
        <w:rPr>
          <w:rFonts w:ascii="Times New Roman" w:hAnsi="Times New Roman" w:cs="Times New Roman"/>
        </w:rPr>
        <w:t>Bifidobacterium</w:t>
      </w:r>
      <w:proofErr w:type="spellEnd"/>
      <w:r w:rsidR="00D87E59" w:rsidRPr="009E21C9">
        <w:rPr>
          <w:rFonts w:ascii="Times New Roman" w:hAnsi="Times New Roman" w:cs="Times New Roman"/>
        </w:rPr>
        <w:t>.</w:t>
      </w:r>
      <w:r w:rsidR="00F85D04" w:rsidRPr="009E21C9">
        <w:rPr>
          <w:rFonts w:ascii="Times New Roman" w:hAnsi="Times New Roman" w:cs="Times New Roman"/>
        </w:rPr>
        <w:t xml:space="preserve"> Kvasinky </w:t>
      </w:r>
      <w:proofErr w:type="spellStart"/>
      <w:r w:rsidR="00F85D04" w:rsidRPr="009E21C9">
        <w:rPr>
          <w:rFonts w:ascii="Times New Roman" w:hAnsi="Times New Roman" w:cs="Times New Roman"/>
        </w:rPr>
        <w:t>Saccharomyces</w:t>
      </w:r>
      <w:proofErr w:type="spellEnd"/>
      <w:r w:rsidR="00F85D04" w:rsidRPr="009E21C9">
        <w:rPr>
          <w:rFonts w:ascii="Times New Roman" w:hAnsi="Times New Roman" w:cs="Times New Roman"/>
        </w:rPr>
        <w:t xml:space="preserve"> jsou </w:t>
      </w:r>
      <w:r w:rsidR="00A94E2A" w:rsidRPr="009E21C9">
        <w:rPr>
          <w:rFonts w:ascii="Times New Roman" w:hAnsi="Times New Roman" w:cs="Times New Roman"/>
        </w:rPr>
        <w:t xml:space="preserve">přirozeně </w:t>
      </w:r>
      <w:r w:rsidR="00F85D04" w:rsidRPr="009E21C9">
        <w:rPr>
          <w:rFonts w:ascii="Times New Roman" w:hAnsi="Times New Roman" w:cs="Times New Roman"/>
        </w:rPr>
        <w:t xml:space="preserve">odolné vůči </w:t>
      </w:r>
      <w:r w:rsidR="00DE2E96" w:rsidRPr="009E21C9">
        <w:rPr>
          <w:rFonts w:ascii="Times New Roman" w:hAnsi="Times New Roman" w:cs="Times New Roman"/>
        </w:rPr>
        <w:t xml:space="preserve">působení </w:t>
      </w:r>
      <w:r w:rsidR="00BD498A" w:rsidRPr="009E21C9">
        <w:rPr>
          <w:rFonts w:ascii="Times New Roman" w:hAnsi="Times New Roman" w:cs="Times New Roman"/>
        </w:rPr>
        <w:t>většin</w:t>
      </w:r>
      <w:r w:rsidR="00DE2E96" w:rsidRPr="009E21C9">
        <w:rPr>
          <w:rFonts w:ascii="Times New Roman" w:hAnsi="Times New Roman" w:cs="Times New Roman"/>
        </w:rPr>
        <w:t>y</w:t>
      </w:r>
      <w:r w:rsidR="00AE6BFB" w:rsidRPr="009E21C9">
        <w:rPr>
          <w:rFonts w:ascii="Times New Roman" w:hAnsi="Times New Roman" w:cs="Times New Roman"/>
        </w:rPr>
        <w:t xml:space="preserve"> </w:t>
      </w:r>
      <w:r w:rsidR="00F85D04" w:rsidRPr="009E21C9">
        <w:rPr>
          <w:rFonts w:ascii="Times New Roman" w:hAnsi="Times New Roman" w:cs="Times New Roman"/>
        </w:rPr>
        <w:t>antibiotik.</w:t>
      </w:r>
    </w:p>
    <w:p w14:paraId="485EE400" w14:textId="0369E873" w:rsidR="005F04E5" w:rsidRPr="009E21C9" w:rsidRDefault="0047685D" w:rsidP="003D5136">
      <w:pPr>
        <w:rPr>
          <w:rFonts w:ascii="Times New Roman" w:hAnsi="Times New Roman" w:cs="Times New Roman"/>
        </w:rPr>
      </w:pPr>
      <w:proofErr w:type="spellStart"/>
      <w:r w:rsidRPr="009E21C9">
        <w:rPr>
          <w:rFonts w:ascii="Times New Roman" w:hAnsi="Times New Roman" w:cs="Times New Roman"/>
        </w:rPr>
        <w:t>Prebiotika</w:t>
      </w:r>
      <w:proofErr w:type="spellEnd"/>
      <w:r w:rsidRPr="009E21C9">
        <w:rPr>
          <w:rFonts w:ascii="Times New Roman" w:hAnsi="Times New Roman" w:cs="Times New Roman"/>
        </w:rPr>
        <w:t xml:space="preserve"> jsou ingredience</w:t>
      </w:r>
      <w:r w:rsidR="003544F4" w:rsidRPr="009E21C9">
        <w:rPr>
          <w:rFonts w:ascii="Times New Roman" w:hAnsi="Times New Roman" w:cs="Times New Roman"/>
        </w:rPr>
        <w:t xml:space="preserve"> selektivně </w:t>
      </w:r>
      <w:r w:rsidR="00F75D7F" w:rsidRPr="009E21C9">
        <w:rPr>
          <w:rFonts w:ascii="Times New Roman" w:hAnsi="Times New Roman" w:cs="Times New Roman"/>
        </w:rPr>
        <w:t>využívané</w:t>
      </w:r>
      <w:r w:rsidR="003544F4" w:rsidRPr="009E21C9">
        <w:rPr>
          <w:rFonts w:ascii="Times New Roman" w:hAnsi="Times New Roman" w:cs="Times New Roman"/>
        </w:rPr>
        <w:t xml:space="preserve"> </w:t>
      </w:r>
      <w:r w:rsidR="002710CA" w:rsidRPr="009E21C9">
        <w:rPr>
          <w:rFonts w:ascii="Times New Roman" w:hAnsi="Times New Roman" w:cs="Times New Roman"/>
        </w:rPr>
        <w:t>mikroorganismy hosti</w:t>
      </w:r>
      <w:r w:rsidR="00F75D7F" w:rsidRPr="009E21C9">
        <w:rPr>
          <w:rFonts w:ascii="Times New Roman" w:hAnsi="Times New Roman" w:cs="Times New Roman"/>
        </w:rPr>
        <w:t>te</w:t>
      </w:r>
      <w:r w:rsidR="002710CA" w:rsidRPr="009E21C9">
        <w:rPr>
          <w:rFonts w:ascii="Times New Roman" w:hAnsi="Times New Roman" w:cs="Times New Roman"/>
        </w:rPr>
        <w:t>le</w:t>
      </w:r>
      <w:r w:rsidR="00052A8B" w:rsidRPr="009E21C9">
        <w:rPr>
          <w:rFonts w:ascii="Times New Roman" w:hAnsi="Times New Roman" w:cs="Times New Roman"/>
        </w:rPr>
        <w:t xml:space="preserve">, </w:t>
      </w:r>
      <w:r w:rsidR="00C37A90" w:rsidRPr="009E21C9">
        <w:rPr>
          <w:rFonts w:ascii="Times New Roman" w:hAnsi="Times New Roman" w:cs="Times New Roman"/>
        </w:rPr>
        <w:t>které hostiteli poskytují</w:t>
      </w:r>
      <w:r w:rsidR="002710CA" w:rsidRPr="009E21C9">
        <w:rPr>
          <w:rFonts w:ascii="Times New Roman" w:hAnsi="Times New Roman" w:cs="Times New Roman"/>
        </w:rPr>
        <w:t xml:space="preserve"> zdravotní přínos</w:t>
      </w:r>
      <w:r w:rsidRPr="009E21C9">
        <w:rPr>
          <w:rFonts w:ascii="Times New Roman" w:hAnsi="Times New Roman" w:cs="Times New Roman"/>
        </w:rPr>
        <w:t xml:space="preserve"> (definice </w:t>
      </w:r>
      <w:r w:rsidR="00CD0391" w:rsidRPr="009E21C9">
        <w:rPr>
          <w:rFonts w:ascii="Times New Roman" w:hAnsi="Times New Roman" w:cs="Times New Roman"/>
        </w:rPr>
        <w:t>ISAPP</w:t>
      </w:r>
      <w:r w:rsidR="00D332F6" w:rsidRPr="009E21C9">
        <w:rPr>
          <w:rFonts w:ascii="Times New Roman" w:hAnsi="Times New Roman" w:cs="Times New Roman"/>
        </w:rPr>
        <w:t>, 2017</w:t>
      </w:r>
      <w:r w:rsidRPr="009E21C9">
        <w:rPr>
          <w:rFonts w:ascii="Times New Roman" w:hAnsi="Times New Roman" w:cs="Times New Roman"/>
        </w:rPr>
        <w:t>)</w:t>
      </w:r>
      <w:r w:rsidR="00842AD7" w:rsidRPr="009E21C9">
        <w:rPr>
          <w:rStyle w:val="Znakapoznpodarou"/>
          <w:rFonts w:ascii="Times New Roman" w:hAnsi="Times New Roman" w:cs="Times New Roman"/>
        </w:rPr>
        <w:footnoteReference w:id="2"/>
      </w:r>
      <w:r w:rsidR="00EE2F80" w:rsidRPr="009E21C9">
        <w:rPr>
          <w:rFonts w:ascii="Times New Roman" w:hAnsi="Times New Roman" w:cs="Times New Roman"/>
        </w:rPr>
        <w:t xml:space="preserve">.  </w:t>
      </w:r>
      <w:proofErr w:type="spellStart"/>
      <w:r w:rsidR="00C13658" w:rsidRPr="009E21C9">
        <w:rPr>
          <w:rFonts w:ascii="Times New Roman" w:hAnsi="Times New Roman" w:cs="Times New Roman"/>
        </w:rPr>
        <w:t>Prebiotika</w:t>
      </w:r>
      <w:proofErr w:type="spellEnd"/>
      <w:r w:rsidR="00C13658" w:rsidRPr="009E21C9">
        <w:rPr>
          <w:rFonts w:ascii="Times New Roman" w:hAnsi="Times New Roman" w:cs="Times New Roman"/>
        </w:rPr>
        <w:t xml:space="preserve"> </w:t>
      </w:r>
      <w:r w:rsidR="00EE2F80" w:rsidRPr="009E21C9">
        <w:rPr>
          <w:rFonts w:ascii="Times New Roman" w:hAnsi="Times New Roman" w:cs="Times New Roman"/>
        </w:rPr>
        <w:t xml:space="preserve">jsou </w:t>
      </w:r>
      <w:r w:rsidR="00C13658" w:rsidRPr="009E21C9">
        <w:rPr>
          <w:rFonts w:ascii="Times New Roman" w:hAnsi="Times New Roman" w:cs="Times New Roman"/>
        </w:rPr>
        <w:t xml:space="preserve">tedy jakousi </w:t>
      </w:r>
      <w:r w:rsidR="00EE2F80" w:rsidRPr="009E21C9">
        <w:rPr>
          <w:rFonts w:ascii="Times New Roman" w:hAnsi="Times New Roman" w:cs="Times New Roman"/>
        </w:rPr>
        <w:t>potrav</w:t>
      </w:r>
      <w:r w:rsidR="00C13658" w:rsidRPr="009E21C9">
        <w:rPr>
          <w:rFonts w:ascii="Times New Roman" w:hAnsi="Times New Roman" w:cs="Times New Roman"/>
        </w:rPr>
        <w:t>ou</w:t>
      </w:r>
      <w:r w:rsidR="00EE2F80" w:rsidRPr="009E21C9">
        <w:rPr>
          <w:rFonts w:ascii="Times New Roman" w:hAnsi="Times New Roman" w:cs="Times New Roman"/>
        </w:rPr>
        <w:t xml:space="preserve"> pro probiotické bakterie a </w:t>
      </w:r>
      <w:r w:rsidR="0074784B" w:rsidRPr="009E21C9">
        <w:rPr>
          <w:rFonts w:ascii="Times New Roman" w:hAnsi="Times New Roman" w:cs="Times New Roman"/>
        </w:rPr>
        <w:t>patří mezi ně</w:t>
      </w:r>
      <w:r w:rsidR="00EE2F80" w:rsidRPr="009E21C9">
        <w:rPr>
          <w:rFonts w:ascii="Times New Roman" w:hAnsi="Times New Roman" w:cs="Times New Roman"/>
        </w:rPr>
        <w:t xml:space="preserve"> </w:t>
      </w:r>
      <w:r w:rsidR="0074784B" w:rsidRPr="009E21C9">
        <w:rPr>
          <w:rFonts w:ascii="Times New Roman" w:hAnsi="Times New Roman" w:cs="Times New Roman"/>
        </w:rPr>
        <w:t xml:space="preserve">některé </w:t>
      </w:r>
      <w:r w:rsidR="00EE2F80" w:rsidRPr="009E21C9">
        <w:rPr>
          <w:rFonts w:ascii="Times New Roman" w:hAnsi="Times New Roman" w:cs="Times New Roman"/>
        </w:rPr>
        <w:t>nestravitelné oligosacharidy</w:t>
      </w:r>
      <w:r w:rsidR="0074784B" w:rsidRPr="009E21C9">
        <w:rPr>
          <w:rFonts w:ascii="Times New Roman" w:hAnsi="Times New Roman" w:cs="Times New Roman"/>
        </w:rPr>
        <w:t>.</w:t>
      </w:r>
    </w:p>
    <w:p w14:paraId="7CF2AF90" w14:textId="0BD769BC" w:rsidR="00490CC1" w:rsidRPr="009E21C9" w:rsidRDefault="00C37A90" w:rsidP="003D5136">
      <w:pPr>
        <w:rPr>
          <w:rFonts w:ascii="Times New Roman" w:hAnsi="Times New Roman" w:cs="Times New Roman"/>
        </w:rPr>
      </w:pPr>
      <w:proofErr w:type="spellStart"/>
      <w:r w:rsidRPr="009E21C9">
        <w:rPr>
          <w:rFonts w:ascii="Times New Roman" w:hAnsi="Times New Roman" w:cs="Times New Roman"/>
        </w:rPr>
        <w:t>Sy</w:t>
      </w:r>
      <w:r w:rsidR="00442A20" w:rsidRPr="009E21C9">
        <w:rPr>
          <w:rFonts w:ascii="Times New Roman" w:hAnsi="Times New Roman" w:cs="Times New Roman"/>
        </w:rPr>
        <w:t>m</w:t>
      </w:r>
      <w:r w:rsidRPr="009E21C9">
        <w:rPr>
          <w:rFonts w:ascii="Times New Roman" w:hAnsi="Times New Roman" w:cs="Times New Roman"/>
        </w:rPr>
        <w:t>biotika</w:t>
      </w:r>
      <w:proofErr w:type="spellEnd"/>
      <w:r w:rsidRPr="009E21C9">
        <w:rPr>
          <w:rFonts w:ascii="Times New Roman" w:hAnsi="Times New Roman" w:cs="Times New Roman"/>
        </w:rPr>
        <w:t xml:space="preserve"> jsou směsi </w:t>
      </w:r>
      <w:r w:rsidR="007D41C7" w:rsidRPr="009E21C9">
        <w:rPr>
          <w:rFonts w:ascii="Times New Roman" w:hAnsi="Times New Roman" w:cs="Times New Roman"/>
        </w:rPr>
        <w:t>živých mikroorganismů a ingrediencí</w:t>
      </w:r>
      <w:r w:rsidR="00EC57C2" w:rsidRPr="009E21C9">
        <w:rPr>
          <w:rFonts w:ascii="Times New Roman" w:hAnsi="Times New Roman" w:cs="Times New Roman"/>
        </w:rPr>
        <w:t xml:space="preserve"> selektivně </w:t>
      </w:r>
      <w:r w:rsidR="00F75D7F" w:rsidRPr="009E21C9">
        <w:rPr>
          <w:rFonts w:ascii="Times New Roman" w:hAnsi="Times New Roman" w:cs="Times New Roman"/>
        </w:rPr>
        <w:t>využívaných</w:t>
      </w:r>
      <w:r w:rsidR="00EC57C2" w:rsidRPr="009E21C9">
        <w:rPr>
          <w:rFonts w:ascii="Times New Roman" w:hAnsi="Times New Roman" w:cs="Times New Roman"/>
        </w:rPr>
        <w:t xml:space="preserve"> mikroorganismy hosti</w:t>
      </w:r>
      <w:r w:rsidR="00F75D7F" w:rsidRPr="009E21C9">
        <w:rPr>
          <w:rFonts w:ascii="Times New Roman" w:hAnsi="Times New Roman" w:cs="Times New Roman"/>
        </w:rPr>
        <w:t>te</w:t>
      </w:r>
      <w:r w:rsidR="00EC57C2" w:rsidRPr="009E21C9">
        <w:rPr>
          <w:rFonts w:ascii="Times New Roman" w:hAnsi="Times New Roman" w:cs="Times New Roman"/>
        </w:rPr>
        <w:t>le, které hostiteli poskytují zdravotní přínos (definice ISAPP, 201</w:t>
      </w:r>
      <w:r w:rsidR="006F3164" w:rsidRPr="009E21C9">
        <w:rPr>
          <w:rFonts w:ascii="Times New Roman" w:hAnsi="Times New Roman" w:cs="Times New Roman"/>
        </w:rPr>
        <w:t>9</w:t>
      </w:r>
      <w:r w:rsidR="00EC57C2" w:rsidRPr="009E21C9">
        <w:rPr>
          <w:rFonts w:ascii="Times New Roman" w:hAnsi="Times New Roman" w:cs="Times New Roman"/>
        </w:rPr>
        <w:t>)</w:t>
      </w:r>
      <w:r w:rsidR="00843090" w:rsidRPr="009E21C9">
        <w:rPr>
          <w:vertAlign w:val="superscript"/>
        </w:rPr>
        <w:footnoteReference w:id="3"/>
      </w:r>
      <w:r w:rsidR="006F6689" w:rsidRPr="009E21C9">
        <w:rPr>
          <w:rFonts w:ascii="Times New Roman" w:hAnsi="Times New Roman" w:cs="Times New Roman"/>
        </w:rPr>
        <w:t>. J</w:t>
      </w:r>
      <w:r w:rsidR="006B6713" w:rsidRPr="009E21C9">
        <w:rPr>
          <w:rFonts w:ascii="Times New Roman" w:hAnsi="Times New Roman" w:cs="Times New Roman"/>
        </w:rPr>
        <w:t>edná se tedy</w:t>
      </w:r>
      <w:r w:rsidR="00CF107B" w:rsidRPr="009E21C9">
        <w:rPr>
          <w:rFonts w:ascii="Times New Roman" w:hAnsi="Times New Roman" w:cs="Times New Roman"/>
        </w:rPr>
        <w:t xml:space="preserve"> </w:t>
      </w:r>
      <w:r w:rsidR="006F6689" w:rsidRPr="009E21C9">
        <w:rPr>
          <w:rFonts w:ascii="Times New Roman" w:hAnsi="Times New Roman" w:cs="Times New Roman"/>
        </w:rPr>
        <w:t xml:space="preserve">o </w:t>
      </w:r>
      <w:r w:rsidR="006B6713" w:rsidRPr="009E21C9">
        <w:rPr>
          <w:rFonts w:ascii="Times New Roman" w:hAnsi="Times New Roman" w:cs="Times New Roman"/>
        </w:rPr>
        <w:t xml:space="preserve">kombinaci probiotik a </w:t>
      </w:r>
      <w:proofErr w:type="spellStart"/>
      <w:r w:rsidR="006B6713" w:rsidRPr="009E21C9">
        <w:rPr>
          <w:rFonts w:ascii="Times New Roman" w:hAnsi="Times New Roman" w:cs="Times New Roman"/>
        </w:rPr>
        <w:t>prebiotik</w:t>
      </w:r>
      <w:proofErr w:type="spellEnd"/>
      <w:r w:rsidR="00D53F84" w:rsidRPr="009E21C9">
        <w:rPr>
          <w:rFonts w:ascii="Times New Roman" w:hAnsi="Times New Roman" w:cs="Times New Roman"/>
        </w:rPr>
        <w:t xml:space="preserve">, </w:t>
      </w:r>
      <w:r w:rsidR="00C13658" w:rsidRPr="009E21C9">
        <w:rPr>
          <w:rFonts w:ascii="Times New Roman" w:hAnsi="Times New Roman" w:cs="Times New Roman"/>
        </w:rPr>
        <w:t xml:space="preserve">přičemž se očekává </w:t>
      </w:r>
      <w:r w:rsidR="006F188F" w:rsidRPr="009E21C9">
        <w:rPr>
          <w:rFonts w:ascii="Times New Roman" w:hAnsi="Times New Roman" w:cs="Times New Roman"/>
        </w:rPr>
        <w:t>ú</w:t>
      </w:r>
      <w:r w:rsidR="00D53F84" w:rsidRPr="009E21C9">
        <w:rPr>
          <w:rFonts w:ascii="Times New Roman" w:hAnsi="Times New Roman" w:cs="Times New Roman"/>
        </w:rPr>
        <w:t xml:space="preserve">činek větší, než </w:t>
      </w:r>
      <w:r w:rsidR="006F188F" w:rsidRPr="009E21C9">
        <w:rPr>
          <w:rFonts w:ascii="Times New Roman" w:hAnsi="Times New Roman" w:cs="Times New Roman"/>
        </w:rPr>
        <w:t xml:space="preserve">by byl </w:t>
      </w:r>
      <w:r w:rsidR="006F6689" w:rsidRPr="009E21C9">
        <w:rPr>
          <w:rFonts w:ascii="Times New Roman" w:hAnsi="Times New Roman" w:cs="Times New Roman"/>
        </w:rPr>
        <w:t>ú</w:t>
      </w:r>
      <w:r w:rsidR="00A87D20" w:rsidRPr="009E21C9">
        <w:rPr>
          <w:rFonts w:ascii="Times New Roman" w:hAnsi="Times New Roman" w:cs="Times New Roman"/>
        </w:rPr>
        <w:t>činek obou složek podávaných zvlášť.</w:t>
      </w:r>
    </w:p>
    <w:p w14:paraId="77CC9962" w14:textId="41139EF0" w:rsidR="00607BA8" w:rsidRPr="009E21C9" w:rsidRDefault="006F6689" w:rsidP="003D5136">
      <w:pPr>
        <w:rPr>
          <w:rFonts w:ascii="Times New Roman" w:hAnsi="Times New Roman" w:cs="Times New Roman"/>
        </w:rPr>
      </w:pPr>
      <w:r w:rsidRPr="009E21C9">
        <w:rPr>
          <w:rFonts w:ascii="Times New Roman" w:hAnsi="Times New Roman" w:cs="Times New Roman"/>
        </w:rPr>
        <w:t xml:space="preserve">Přirozenou rovnováhu střevního </w:t>
      </w:r>
      <w:proofErr w:type="spellStart"/>
      <w:r w:rsidRPr="009E21C9">
        <w:rPr>
          <w:rFonts w:ascii="Times New Roman" w:hAnsi="Times New Roman" w:cs="Times New Roman"/>
        </w:rPr>
        <w:t>mikrobiomu</w:t>
      </w:r>
      <w:proofErr w:type="spellEnd"/>
      <w:r w:rsidRPr="009E21C9">
        <w:rPr>
          <w:rFonts w:ascii="Times New Roman" w:hAnsi="Times New Roman" w:cs="Times New Roman"/>
        </w:rPr>
        <w:t xml:space="preserve"> může narušit u</w:t>
      </w:r>
      <w:r w:rsidR="006D7D21" w:rsidRPr="009E21C9">
        <w:rPr>
          <w:rFonts w:ascii="Times New Roman" w:hAnsi="Times New Roman" w:cs="Times New Roman"/>
        </w:rPr>
        <w:t>žívání antibiotik</w:t>
      </w:r>
      <w:r w:rsidR="0029158E" w:rsidRPr="009E21C9">
        <w:rPr>
          <w:rFonts w:ascii="Times New Roman" w:hAnsi="Times New Roman" w:cs="Times New Roman"/>
        </w:rPr>
        <w:t>.</w:t>
      </w:r>
      <w:r w:rsidR="006D7D21" w:rsidRPr="009E21C9">
        <w:rPr>
          <w:rFonts w:ascii="Times New Roman" w:hAnsi="Times New Roman" w:cs="Times New Roman"/>
        </w:rPr>
        <w:t xml:space="preserve"> </w:t>
      </w:r>
      <w:r w:rsidR="0029158E" w:rsidRPr="009E21C9">
        <w:rPr>
          <w:rFonts w:ascii="Times New Roman" w:hAnsi="Times New Roman" w:cs="Times New Roman"/>
        </w:rPr>
        <w:t>P</w:t>
      </w:r>
      <w:r w:rsidR="00BD6C5B" w:rsidRPr="009E21C9">
        <w:rPr>
          <w:rFonts w:ascii="Times New Roman" w:hAnsi="Times New Roman" w:cs="Times New Roman"/>
        </w:rPr>
        <w:t xml:space="preserve">ro </w:t>
      </w:r>
      <w:r w:rsidR="00A566CD" w:rsidRPr="009E21C9">
        <w:rPr>
          <w:rFonts w:ascii="Times New Roman" w:hAnsi="Times New Roman" w:cs="Times New Roman"/>
        </w:rPr>
        <w:t>podpor</w:t>
      </w:r>
      <w:r w:rsidR="00BD6C5B" w:rsidRPr="009E21C9">
        <w:rPr>
          <w:rFonts w:ascii="Times New Roman" w:hAnsi="Times New Roman" w:cs="Times New Roman"/>
        </w:rPr>
        <w:t>u</w:t>
      </w:r>
      <w:r w:rsidR="00A566CD" w:rsidRPr="009E21C9">
        <w:rPr>
          <w:rFonts w:ascii="Times New Roman" w:hAnsi="Times New Roman" w:cs="Times New Roman"/>
        </w:rPr>
        <w:t xml:space="preserve"> </w:t>
      </w:r>
      <w:r w:rsidR="00791FDA" w:rsidRPr="009E21C9">
        <w:rPr>
          <w:rFonts w:ascii="Times New Roman" w:hAnsi="Times New Roman" w:cs="Times New Roman"/>
        </w:rPr>
        <w:t xml:space="preserve">její </w:t>
      </w:r>
      <w:r w:rsidR="00A566CD" w:rsidRPr="009E21C9">
        <w:rPr>
          <w:rFonts w:ascii="Times New Roman" w:hAnsi="Times New Roman" w:cs="Times New Roman"/>
        </w:rPr>
        <w:t>obnov</w:t>
      </w:r>
      <w:r w:rsidR="00BD6C5B" w:rsidRPr="009E21C9">
        <w:rPr>
          <w:rFonts w:ascii="Times New Roman" w:hAnsi="Times New Roman" w:cs="Times New Roman"/>
        </w:rPr>
        <w:t>y</w:t>
      </w:r>
      <w:r w:rsidR="00A566CD" w:rsidRPr="009E21C9">
        <w:rPr>
          <w:rFonts w:ascii="Times New Roman" w:hAnsi="Times New Roman" w:cs="Times New Roman"/>
        </w:rPr>
        <w:t xml:space="preserve"> je vhodné začít užívat </w:t>
      </w:r>
      <w:proofErr w:type="spellStart"/>
      <w:r w:rsidR="008A56C4" w:rsidRPr="009E21C9">
        <w:rPr>
          <w:rFonts w:ascii="Times New Roman" w:hAnsi="Times New Roman" w:cs="Times New Roman"/>
        </w:rPr>
        <w:t>symbiotika</w:t>
      </w:r>
      <w:proofErr w:type="spellEnd"/>
      <w:r w:rsidR="00791FDA" w:rsidRPr="009E21C9">
        <w:rPr>
          <w:rFonts w:ascii="Times New Roman" w:hAnsi="Times New Roman" w:cs="Times New Roman"/>
        </w:rPr>
        <w:t xml:space="preserve"> </w:t>
      </w:r>
      <w:r w:rsidR="00AB56FE" w:rsidRPr="009E21C9">
        <w:rPr>
          <w:rFonts w:ascii="Times New Roman" w:hAnsi="Times New Roman" w:cs="Times New Roman"/>
        </w:rPr>
        <w:t>na počátku</w:t>
      </w:r>
      <w:r w:rsidR="00A566CD" w:rsidRPr="009E21C9">
        <w:rPr>
          <w:rFonts w:ascii="Times New Roman" w:hAnsi="Times New Roman" w:cs="Times New Roman"/>
        </w:rPr>
        <w:t> </w:t>
      </w:r>
      <w:r w:rsidR="00AB56FE" w:rsidRPr="009E21C9">
        <w:rPr>
          <w:rFonts w:ascii="Times New Roman" w:hAnsi="Times New Roman" w:cs="Times New Roman"/>
        </w:rPr>
        <w:t xml:space="preserve">léčby </w:t>
      </w:r>
      <w:r w:rsidR="00A566CD" w:rsidRPr="009E21C9">
        <w:rPr>
          <w:rFonts w:ascii="Times New Roman" w:hAnsi="Times New Roman" w:cs="Times New Roman"/>
        </w:rPr>
        <w:t xml:space="preserve">antibiotiky a pokračovat </w:t>
      </w:r>
      <w:r w:rsidR="00D55781" w:rsidRPr="009E21C9">
        <w:rPr>
          <w:rFonts w:ascii="Times New Roman" w:hAnsi="Times New Roman" w:cs="Times New Roman"/>
        </w:rPr>
        <w:t xml:space="preserve">v užívání </w:t>
      </w:r>
      <w:r w:rsidR="00BB2A36" w:rsidRPr="009E21C9">
        <w:rPr>
          <w:rFonts w:ascii="Times New Roman" w:hAnsi="Times New Roman" w:cs="Times New Roman"/>
        </w:rPr>
        <w:t>i</w:t>
      </w:r>
      <w:r w:rsidR="00A566CD" w:rsidRPr="009E21C9">
        <w:rPr>
          <w:rFonts w:ascii="Times New Roman" w:hAnsi="Times New Roman" w:cs="Times New Roman"/>
        </w:rPr>
        <w:t xml:space="preserve"> po ukončení antibiotické léčby</w:t>
      </w:r>
      <w:r w:rsidR="00D55781" w:rsidRPr="009E21C9">
        <w:rPr>
          <w:rFonts w:ascii="Times New Roman" w:hAnsi="Times New Roman" w:cs="Times New Roman"/>
        </w:rPr>
        <w:t>.</w:t>
      </w:r>
      <w:r w:rsidR="00524577" w:rsidRPr="009E21C9">
        <w:rPr>
          <w:rFonts w:ascii="Times New Roman" w:hAnsi="Times New Roman" w:cs="Times New Roman"/>
        </w:rPr>
        <w:t xml:space="preserve"> </w:t>
      </w:r>
      <w:r w:rsidR="00FE3E18" w:rsidRPr="009E21C9">
        <w:rPr>
          <w:rFonts w:ascii="Times New Roman" w:hAnsi="Times New Roman" w:cs="Times New Roman"/>
        </w:rPr>
        <w:t>M</w:t>
      </w:r>
      <w:r w:rsidR="00524577" w:rsidRPr="009E21C9">
        <w:rPr>
          <w:rFonts w:ascii="Times New Roman" w:hAnsi="Times New Roman" w:cs="Times New Roman"/>
        </w:rPr>
        <w:t>ezi</w:t>
      </w:r>
      <w:r w:rsidR="00FE3E18" w:rsidRPr="009E21C9">
        <w:rPr>
          <w:rFonts w:ascii="Times New Roman" w:hAnsi="Times New Roman" w:cs="Times New Roman"/>
        </w:rPr>
        <w:t xml:space="preserve"> užitím</w:t>
      </w:r>
      <w:r w:rsidR="00524577" w:rsidRPr="009E21C9">
        <w:rPr>
          <w:rFonts w:ascii="Times New Roman" w:hAnsi="Times New Roman" w:cs="Times New Roman"/>
        </w:rPr>
        <w:t xml:space="preserve"> antibiotik</w:t>
      </w:r>
      <w:r w:rsidR="00FE3E18" w:rsidRPr="009E21C9">
        <w:rPr>
          <w:rFonts w:ascii="Times New Roman" w:hAnsi="Times New Roman" w:cs="Times New Roman"/>
        </w:rPr>
        <w:t>a</w:t>
      </w:r>
      <w:r w:rsidR="00524577" w:rsidRPr="009E21C9">
        <w:rPr>
          <w:rFonts w:ascii="Times New Roman" w:hAnsi="Times New Roman" w:cs="Times New Roman"/>
        </w:rPr>
        <w:t xml:space="preserve"> a </w:t>
      </w:r>
      <w:proofErr w:type="spellStart"/>
      <w:r w:rsidR="008A56C4" w:rsidRPr="009E21C9">
        <w:rPr>
          <w:rFonts w:ascii="Times New Roman" w:hAnsi="Times New Roman" w:cs="Times New Roman"/>
        </w:rPr>
        <w:t>symbiotika</w:t>
      </w:r>
      <w:proofErr w:type="spellEnd"/>
      <w:r w:rsidR="00524577" w:rsidRPr="009E21C9">
        <w:rPr>
          <w:rFonts w:ascii="Times New Roman" w:hAnsi="Times New Roman" w:cs="Times New Roman"/>
        </w:rPr>
        <w:t> </w:t>
      </w:r>
      <w:r w:rsidR="00FE3E18" w:rsidRPr="009E21C9">
        <w:rPr>
          <w:rFonts w:ascii="Times New Roman" w:hAnsi="Times New Roman" w:cs="Times New Roman"/>
        </w:rPr>
        <w:t xml:space="preserve">je </w:t>
      </w:r>
      <w:r w:rsidR="007E49CF" w:rsidRPr="009E21C9">
        <w:rPr>
          <w:rFonts w:ascii="Times New Roman" w:hAnsi="Times New Roman" w:cs="Times New Roman"/>
        </w:rPr>
        <w:t xml:space="preserve">doporučován </w:t>
      </w:r>
      <w:r w:rsidR="00524577" w:rsidRPr="009E21C9">
        <w:rPr>
          <w:rFonts w:ascii="Times New Roman" w:hAnsi="Times New Roman" w:cs="Times New Roman"/>
        </w:rPr>
        <w:t>odstup alespoň dvě hodiny.</w:t>
      </w:r>
    </w:p>
    <w:p w14:paraId="48D6B856" w14:textId="78BA898B" w:rsidR="003D5136" w:rsidRPr="009E21C9" w:rsidRDefault="00BB2A36" w:rsidP="003D5136">
      <w:pPr>
        <w:rPr>
          <w:rFonts w:ascii="Times New Roman" w:hAnsi="Times New Roman" w:cs="Times New Roman"/>
        </w:rPr>
      </w:pPr>
      <w:r w:rsidRPr="009E21C9">
        <w:rPr>
          <w:rFonts w:ascii="Times New Roman" w:hAnsi="Times New Roman" w:cs="Times New Roman"/>
        </w:rPr>
        <w:t>P</w:t>
      </w:r>
      <w:r w:rsidR="00BA1D09" w:rsidRPr="009E21C9">
        <w:rPr>
          <w:rFonts w:ascii="Times New Roman" w:hAnsi="Times New Roman" w:cs="Times New Roman"/>
        </w:rPr>
        <w:t>ři</w:t>
      </w:r>
      <w:r w:rsidRPr="009E21C9">
        <w:rPr>
          <w:rFonts w:ascii="Times New Roman" w:hAnsi="Times New Roman" w:cs="Times New Roman"/>
        </w:rPr>
        <w:t xml:space="preserve"> výrob</w:t>
      </w:r>
      <w:r w:rsidR="00BA1D09" w:rsidRPr="009E21C9">
        <w:rPr>
          <w:rFonts w:ascii="Times New Roman" w:hAnsi="Times New Roman" w:cs="Times New Roman"/>
        </w:rPr>
        <w:t>ě</w:t>
      </w:r>
      <w:r w:rsidRPr="009E21C9">
        <w:rPr>
          <w:rFonts w:ascii="Times New Roman" w:hAnsi="Times New Roman" w:cs="Times New Roman"/>
        </w:rPr>
        <w:t xml:space="preserve"> </w:t>
      </w:r>
      <w:r w:rsidR="000666A6" w:rsidRPr="009E21C9">
        <w:rPr>
          <w:rFonts w:ascii="Times New Roman" w:hAnsi="Times New Roman" w:cs="Times New Roman"/>
        </w:rPr>
        <w:t>kapslí</w:t>
      </w:r>
      <w:r w:rsidR="001C6320" w:rsidRPr="009E21C9">
        <w:rPr>
          <w:rFonts w:ascii="Times New Roman" w:hAnsi="Times New Roman" w:cs="Times New Roman"/>
        </w:rPr>
        <w:t xml:space="preserve"> </w:t>
      </w:r>
      <w:proofErr w:type="spellStart"/>
      <w:r w:rsidR="001C6320" w:rsidRPr="009E21C9">
        <w:rPr>
          <w:rFonts w:ascii="Times New Roman" w:hAnsi="Times New Roman" w:cs="Times New Roman"/>
        </w:rPr>
        <w:t>Compliflora</w:t>
      </w:r>
      <w:proofErr w:type="spellEnd"/>
      <w:r w:rsidR="001C6320" w:rsidRPr="009E21C9">
        <w:rPr>
          <w:rFonts w:ascii="Times New Roman" w:hAnsi="Times New Roman" w:cs="Times New Roman"/>
        </w:rPr>
        <w:t xml:space="preserve"> </w:t>
      </w:r>
      <w:r w:rsidR="000666A6" w:rsidRPr="009E21C9">
        <w:rPr>
          <w:rFonts w:ascii="Times New Roman" w:hAnsi="Times New Roman" w:cs="Times New Roman"/>
        </w:rPr>
        <w:t xml:space="preserve">ATB </w:t>
      </w:r>
      <w:proofErr w:type="spellStart"/>
      <w:r w:rsidR="000666A6" w:rsidRPr="009E21C9">
        <w:rPr>
          <w:rFonts w:ascii="Times New Roman" w:hAnsi="Times New Roman" w:cs="Times New Roman"/>
        </w:rPr>
        <w:t>complex</w:t>
      </w:r>
      <w:proofErr w:type="spellEnd"/>
      <w:r w:rsidR="001C6320" w:rsidRPr="009E21C9">
        <w:rPr>
          <w:rFonts w:ascii="Times New Roman" w:hAnsi="Times New Roman" w:cs="Times New Roman"/>
        </w:rPr>
        <w:t xml:space="preserve"> </w:t>
      </w:r>
      <w:r w:rsidR="00BA1D09" w:rsidRPr="009E21C9">
        <w:rPr>
          <w:rFonts w:ascii="Times New Roman" w:hAnsi="Times New Roman" w:cs="Times New Roman"/>
        </w:rPr>
        <w:t xml:space="preserve">se používá </w:t>
      </w:r>
      <w:r w:rsidR="009B0B53" w:rsidRPr="009E21C9">
        <w:rPr>
          <w:rFonts w:ascii="Times New Roman" w:hAnsi="Times New Roman" w:cs="Times New Roman"/>
        </w:rPr>
        <w:t>moderní</w:t>
      </w:r>
      <w:r w:rsidR="003D5136" w:rsidRPr="009E21C9">
        <w:rPr>
          <w:rFonts w:ascii="Times New Roman" w:hAnsi="Times New Roman" w:cs="Times New Roman"/>
        </w:rPr>
        <w:t xml:space="preserve"> technologie</w:t>
      </w:r>
      <w:r w:rsidR="00BA1D09" w:rsidRPr="009E21C9">
        <w:rPr>
          <w:rFonts w:ascii="Times New Roman" w:hAnsi="Times New Roman" w:cs="Times New Roman"/>
        </w:rPr>
        <w:t xml:space="preserve"> </w:t>
      </w:r>
      <w:proofErr w:type="spellStart"/>
      <w:r w:rsidR="009B0B53" w:rsidRPr="009E21C9">
        <w:rPr>
          <w:rFonts w:ascii="Times New Roman" w:hAnsi="Times New Roman" w:cs="Times New Roman"/>
        </w:rPr>
        <w:t>DRcaps</w:t>
      </w:r>
      <w:r w:rsidR="009B0B53" w:rsidRPr="009E21C9">
        <w:rPr>
          <w:rFonts w:ascii="Times New Roman" w:hAnsi="Times New Roman" w:cs="Times New Roman"/>
          <w:vertAlign w:val="superscript"/>
        </w:rPr>
        <w:t>TM</w:t>
      </w:r>
      <w:proofErr w:type="spellEnd"/>
      <w:r w:rsidR="003D5136" w:rsidRPr="009E21C9">
        <w:rPr>
          <w:rFonts w:ascii="Times New Roman" w:hAnsi="Times New Roman" w:cs="Times New Roman"/>
        </w:rPr>
        <w:t xml:space="preserve">, </w:t>
      </w:r>
      <w:r w:rsidR="00FC191B" w:rsidRPr="009E21C9">
        <w:rPr>
          <w:rFonts w:ascii="Times New Roman" w:hAnsi="Times New Roman" w:cs="Times New Roman"/>
        </w:rPr>
        <w:t>díky které</w:t>
      </w:r>
      <w:r w:rsidR="003D5136" w:rsidRPr="009E21C9">
        <w:rPr>
          <w:rFonts w:ascii="Times New Roman" w:hAnsi="Times New Roman" w:cs="Times New Roman"/>
        </w:rPr>
        <w:t xml:space="preserve"> </w:t>
      </w:r>
      <w:r w:rsidR="00FC191B" w:rsidRPr="009E21C9">
        <w:rPr>
          <w:rFonts w:ascii="Times New Roman" w:hAnsi="Times New Roman" w:cs="Times New Roman"/>
        </w:rPr>
        <w:t>jsou</w:t>
      </w:r>
      <w:r w:rsidR="00104A19" w:rsidRPr="009E21C9">
        <w:rPr>
          <w:rFonts w:ascii="Times New Roman" w:hAnsi="Times New Roman" w:cs="Times New Roman"/>
        </w:rPr>
        <w:t xml:space="preserve"> složky </w:t>
      </w:r>
      <w:r w:rsidR="004B0770" w:rsidRPr="009E21C9">
        <w:rPr>
          <w:rFonts w:ascii="Times New Roman" w:hAnsi="Times New Roman" w:cs="Times New Roman"/>
        </w:rPr>
        <w:t xml:space="preserve">obsažené </w:t>
      </w:r>
      <w:r w:rsidR="00FC191B" w:rsidRPr="009E21C9">
        <w:rPr>
          <w:rFonts w:ascii="Times New Roman" w:hAnsi="Times New Roman" w:cs="Times New Roman"/>
        </w:rPr>
        <w:t>v </w:t>
      </w:r>
      <w:r w:rsidR="007022D7" w:rsidRPr="009E21C9">
        <w:rPr>
          <w:rFonts w:ascii="Times New Roman" w:hAnsi="Times New Roman" w:cs="Times New Roman"/>
        </w:rPr>
        <w:t>kap</w:t>
      </w:r>
      <w:r w:rsidR="0091209D" w:rsidRPr="009E21C9">
        <w:rPr>
          <w:rFonts w:ascii="Times New Roman" w:hAnsi="Times New Roman" w:cs="Times New Roman"/>
        </w:rPr>
        <w:t>sli</w:t>
      </w:r>
      <w:r w:rsidR="00FC191B" w:rsidRPr="009E21C9">
        <w:rPr>
          <w:rFonts w:ascii="Times New Roman" w:hAnsi="Times New Roman" w:cs="Times New Roman"/>
        </w:rPr>
        <w:t xml:space="preserve"> z </w:t>
      </w:r>
      <w:proofErr w:type="spellStart"/>
      <w:r w:rsidR="00FC191B" w:rsidRPr="009E21C9">
        <w:rPr>
          <w:rFonts w:ascii="Times New Roman" w:hAnsi="Times New Roman" w:cs="Times New Roman"/>
        </w:rPr>
        <w:t>hypromelózy</w:t>
      </w:r>
      <w:proofErr w:type="spellEnd"/>
      <w:r w:rsidR="00FC191B" w:rsidRPr="009E21C9">
        <w:rPr>
          <w:rFonts w:ascii="Times New Roman" w:hAnsi="Times New Roman" w:cs="Times New Roman"/>
        </w:rPr>
        <w:t xml:space="preserve"> chráněny </w:t>
      </w:r>
      <w:r w:rsidR="00594FD4" w:rsidRPr="009E21C9">
        <w:rPr>
          <w:rFonts w:ascii="Times New Roman" w:hAnsi="Times New Roman" w:cs="Times New Roman"/>
        </w:rPr>
        <w:t xml:space="preserve">před </w:t>
      </w:r>
      <w:r w:rsidR="00B529C1" w:rsidRPr="009E21C9">
        <w:rPr>
          <w:rFonts w:ascii="Times New Roman" w:hAnsi="Times New Roman" w:cs="Times New Roman"/>
        </w:rPr>
        <w:t>kyselým prostředím</w:t>
      </w:r>
      <w:r w:rsidR="003D5136" w:rsidRPr="009E21C9">
        <w:rPr>
          <w:rFonts w:ascii="Times New Roman" w:hAnsi="Times New Roman" w:cs="Times New Roman"/>
        </w:rPr>
        <w:t xml:space="preserve"> při průchodu střevním traktem</w:t>
      </w:r>
      <w:r w:rsidR="00C50F76" w:rsidRPr="009E21C9">
        <w:rPr>
          <w:rFonts w:ascii="Times New Roman" w:hAnsi="Times New Roman" w:cs="Times New Roman"/>
        </w:rPr>
        <w:t>.</w:t>
      </w:r>
      <w:r w:rsidR="00D87C04" w:rsidRPr="009E21C9">
        <w:rPr>
          <w:rFonts w:ascii="Times New Roman" w:hAnsi="Times New Roman" w:cs="Times New Roman"/>
        </w:rPr>
        <w:t xml:space="preserve"> </w:t>
      </w:r>
      <w:r w:rsidR="00CA6AB6" w:rsidRPr="009E21C9">
        <w:rPr>
          <w:rFonts w:ascii="Times New Roman" w:hAnsi="Times New Roman" w:cs="Times New Roman"/>
        </w:rPr>
        <w:t>P</w:t>
      </w:r>
      <w:r w:rsidR="007F5825" w:rsidRPr="009E21C9">
        <w:rPr>
          <w:rFonts w:ascii="Times New Roman" w:hAnsi="Times New Roman" w:cs="Times New Roman"/>
        </w:rPr>
        <w:t>rodukt nemusí být skladován v</w:t>
      </w:r>
      <w:r w:rsidR="00CA6AB6" w:rsidRPr="009E21C9">
        <w:rPr>
          <w:rFonts w:ascii="Times New Roman" w:hAnsi="Times New Roman" w:cs="Times New Roman"/>
        </w:rPr>
        <w:t> </w:t>
      </w:r>
      <w:r w:rsidR="007F5825" w:rsidRPr="009E21C9">
        <w:rPr>
          <w:rFonts w:ascii="Times New Roman" w:hAnsi="Times New Roman" w:cs="Times New Roman"/>
        </w:rPr>
        <w:t>chladničce</w:t>
      </w:r>
      <w:r w:rsidR="00CA6AB6" w:rsidRPr="009E21C9">
        <w:rPr>
          <w:rFonts w:ascii="Times New Roman" w:hAnsi="Times New Roman" w:cs="Times New Roman"/>
        </w:rPr>
        <w:t xml:space="preserve">, neobsahuje </w:t>
      </w:r>
      <w:r w:rsidR="00B64B61" w:rsidRPr="009E21C9">
        <w:rPr>
          <w:rFonts w:ascii="Times New Roman" w:hAnsi="Times New Roman" w:cs="Times New Roman"/>
        </w:rPr>
        <w:t>lepek ani laktózu</w:t>
      </w:r>
      <w:r w:rsidR="00DF7E1C" w:rsidRPr="009E21C9">
        <w:rPr>
          <w:rFonts w:ascii="Times New Roman" w:hAnsi="Times New Roman" w:cs="Times New Roman"/>
        </w:rPr>
        <w:t xml:space="preserve"> a </w:t>
      </w:r>
      <w:r w:rsidR="00307DF5" w:rsidRPr="009E21C9">
        <w:rPr>
          <w:rFonts w:ascii="Times New Roman" w:hAnsi="Times New Roman" w:cs="Times New Roman"/>
        </w:rPr>
        <w:t xml:space="preserve">díky </w:t>
      </w:r>
      <w:r w:rsidR="0091209D" w:rsidRPr="009E21C9">
        <w:rPr>
          <w:rFonts w:ascii="Times New Roman" w:hAnsi="Times New Roman" w:cs="Times New Roman"/>
        </w:rPr>
        <w:t>kapsli</w:t>
      </w:r>
      <w:r w:rsidR="00307DF5" w:rsidRPr="009E21C9">
        <w:rPr>
          <w:rFonts w:ascii="Times New Roman" w:hAnsi="Times New Roman" w:cs="Times New Roman"/>
        </w:rPr>
        <w:t xml:space="preserve"> rostlinného pův</w:t>
      </w:r>
      <w:r w:rsidR="00631EE5" w:rsidRPr="009E21C9">
        <w:rPr>
          <w:rFonts w:ascii="Times New Roman" w:hAnsi="Times New Roman" w:cs="Times New Roman"/>
        </w:rPr>
        <w:t>o</w:t>
      </w:r>
      <w:r w:rsidR="00307DF5" w:rsidRPr="009E21C9">
        <w:rPr>
          <w:rFonts w:ascii="Times New Roman" w:hAnsi="Times New Roman" w:cs="Times New Roman"/>
        </w:rPr>
        <w:t xml:space="preserve">du </w:t>
      </w:r>
      <w:r w:rsidR="00160C12" w:rsidRPr="009E21C9">
        <w:rPr>
          <w:rFonts w:ascii="Times New Roman" w:hAnsi="Times New Roman" w:cs="Times New Roman"/>
        </w:rPr>
        <w:t>je vhodný pro vegetariány</w:t>
      </w:r>
      <w:r w:rsidR="00B64B61" w:rsidRPr="009E21C9">
        <w:rPr>
          <w:rFonts w:ascii="Times New Roman" w:hAnsi="Times New Roman" w:cs="Times New Roman"/>
        </w:rPr>
        <w:t>.</w:t>
      </w:r>
    </w:p>
    <w:p w14:paraId="651BF5E5" w14:textId="4DF32534" w:rsidR="002B4ED5" w:rsidRPr="009E21C9" w:rsidRDefault="00BB3840" w:rsidP="002B4ED5">
      <w:pPr>
        <w:rPr>
          <w:rFonts w:ascii="Times New Roman" w:hAnsi="Times New Roman" w:cs="Times New Roman"/>
        </w:rPr>
      </w:pPr>
      <w:r w:rsidRPr="009E21C9">
        <w:rPr>
          <w:rFonts w:ascii="Times New Roman" w:hAnsi="Times New Roman" w:cs="Times New Roman"/>
          <w:b/>
        </w:rPr>
        <w:t xml:space="preserve">POUŽITÍ: </w:t>
      </w:r>
      <w:r w:rsidR="007B171A" w:rsidRPr="009E21C9">
        <w:rPr>
          <w:rFonts w:ascii="Times New Roman" w:hAnsi="Times New Roman" w:cs="Times New Roman"/>
          <w:bCs/>
        </w:rPr>
        <w:t>Doplněk stravy</w:t>
      </w:r>
      <w:r w:rsidR="00492022" w:rsidRPr="009E21C9">
        <w:rPr>
          <w:rFonts w:ascii="Times New Roman" w:hAnsi="Times New Roman" w:cs="Times New Roman"/>
          <w:bCs/>
        </w:rPr>
        <w:t xml:space="preserve"> je určen pro</w:t>
      </w:r>
      <w:r w:rsidR="00992A68" w:rsidRPr="009E21C9">
        <w:rPr>
          <w:rFonts w:ascii="Times New Roman" w:hAnsi="Times New Roman" w:cs="Times New Roman"/>
          <w:bCs/>
        </w:rPr>
        <w:t xml:space="preserve"> kojence od 1 </w:t>
      </w:r>
      <w:r w:rsidR="00E44996" w:rsidRPr="009E21C9">
        <w:rPr>
          <w:rFonts w:ascii="Times New Roman" w:hAnsi="Times New Roman" w:cs="Times New Roman"/>
          <w:bCs/>
        </w:rPr>
        <w:t>měsíce</w:t>
      </w:r>
      <w:r w:rsidR="00A920FF" w:rsidRPr="009E21C9">
        <w:rPr>
          <w:rFonts w:ascii="Times New Roman" w:hAnsi="Times New Roman" w:cs="Times New Roman"/>
          <w:bCs/>
        </w:rPr>
        <w:t xml:space="preserve"> (při krátkodobém užívání)</w:t>
      </w:r>
      <w:r w:rsidR="00E44996" w:rsidRPr="009E21C9">
        <w:rPr>
          <w:rFonts w:ascii="Times New Roman" w:hAnsi="Times New Roman" w:cs="Times New Roman"/>
          <w:bCs/>
        </w:rPr>
        <w:t>,</w:t>
      </w:r>
      <w:r w:rsidR="00492022" w:rsidRPr="009E21C9">
        <w:rPr>
          <w:rFonts w:ascii="Times New Roman" w:hAnsi="Times New Roman" w:cs="Times New Roman"/>
          <w:bCs/>
        </w:rPr>
        <w:t xml:space="preserve"> děti </w:t>
      </w:r>
      <w:r w:rsidR="00E44996" w:rsidRPr="009E21C9">
        <w:rPr>
          <w:rFonts w:ascii="Times New Roman" w:hAnsi="Times New Roman" w:cs="Times New Roman"/>
          <w:bCs/>
        </w:rPr>
        <w:t xml:space="preserve">a </w:t>
      </w:r>
      <w:r w:rsidR="00305966" w:rsidRPr="009E21C9">
        <w:rPr>
          <w:rFonts w:ascii="Times New Roman" w:hAnsi="Times New Roman" w:cs="Times New Roman"/>
          <w:bCs/>
        </w:rPr>
        <w:t>dospělé.</w:t>
      </w:r>
    </w:p>
    <w:tbl>
      <w:tblPr>
        <w:tblStyle w:val="Mkatabulky"/>
        <w:tblW w:w="7928" w:type="dxa"/>
        <w:tblLayout w:type="fixed"/>
        <w:tblLook w:val="04A0" w:firstRow="1" w:lastRow="0" w:firstColumn="1" w:lastColumn="0" w:noHBand="0" w:noVBand="1"/>
      </w:tblPr>
      <w:tblGrid>
        <w:gridCol w:w="2689"/>
        <w:gridCol w:w="1842"/>
        <w:gridCol w:w="3397"/>
      </w:tblGrid>
      <w:tr w:rsidR="002B4ED5" w:rsidRPr="009E21C9" w14:paraId="7DD94F2A" w14:textId="77777777" w:rsidTr="00F75D7F">
        <w:trPr>
          <w:trHeight w:val="44"/>
        </w:trPr>
        <w:tc>
          <w:tcPr>
            <w:tcW w:w="2689" w:type="dxa"/>
          </w:tcPr>
          <w:p w14:paraId="7CB53AA3" w14:textId="77777777" w:rsidR="002B4ED5" w:rsidRPr="009E21C9" w:rsidRDefault="002B4ED5" w:rsidP="003905F2">
            <w:pPr>
              <w:rPr>
                <w:rFonts w:ascii="Times New Roman" w:hAnsi="Times New Roman" w:cs="Times New Roman"/>
              </w:rPr>
            </w:pPr>
          </w:p>
        </w:tc>
        <w:tc>
          <w:tcPr>
            <w:tcW w:w="1842" w:type="dxa"/>
          </w:tcPr>
          <w:p w14:paraId="4F97875C"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100 g</w:t>
            </w:r>
          </w:p>
        </w:tc>
        <w:tc>
          <w:tcPr>
            <w:tcW w:w="3397" w:type="dxa"/>
          </w:tcPr>
          <w:p w14:paraId="0330AFEA" w14:textId="0AE4257B" w:rsidR="002B4ED5" w:rsidRPr="009E21C9" w:rsidRDefault="002B4ED5" w:rsidP="003905F2">
            <w:pPr>
              <w:rPr>
                <w:rFonts w:ascii="Times New Roman" w:hAnsi="Times New Roman" w:cs="Times New Roman"/>
              </w:rPr>
            </w:pPr>
            <w:r w:rsidRPr="009E21C9">
              <w:rPr>
                <w:rFonts w:ascii="Times New Roman" w:hAnsi="Times New Roman" w:cs="Times New Roman"/>
              </w:rPr>
              <w:t xml:space="preserve">1 </w:t>
            </w:r>
            <w:r w:rsidR="00C7614F" w:rsidRPr="009E21C9">
              <w:rPr>
                <w:rFonts w:ascii="Times New Roman" w:hAnsi="Times New Roman" w:cs="Times New Roman"/>
              </w:rPr>
              <w:t>kapsle</w:t>
            </w:r>
          </w:p>
        </w:tc>
      </w:tr>
      <w:tr w:rsidR="002B4ED5" w:rsidRPr="009E21C9" w14:paraId="1F9FA036" w14:textId="77777777" w:rsidTr="00F75D7F">
        <w:trPr>
          <w:trHeight w:val="127"/>
        </w:trPr>
        <w:tc>
          <w:tcPr>
            <w:tcW w:w="2689" w:type="dxa"/>
          </w:tcPr>
          <w:p w14:paraId="14BEF014"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Kvasinky:</w:t>
            </w:r>
          </w:p>
          <w:p w14:paraId="7C0CF65F" w14:textId="77777777" w:rsidR="002B4ED5" w:rsidRPr="009E21C9" w:rsidRDefault="002B4ED5" w:rsidP="003905F2">
            <w:pPr>
              <w:rPr>
                <w:rFonts w:ascii="Times New Roman" w:hAnsi="Times New Roman" w:cs="Times New Roman"/>
              </w:rPr>
            </w:pPr>
            <w:proofErr w:type="spellStart"/>
            <w:r w:rsidRPr="009E21C9">
              <w:rPr>
                <w:rFonts w:ascii="Times New Roman" w:hAnsi="Times New Roman" w:cs="Times New Roman"/>
                <w:i/>
                <w:iCs/>
              </w:rPr>
              <w:t>Saccharomyces</w:t>
            </w:r>
            <w:proofErr w:type="spellEnd"/>
            <w:r w:rsidRPr="009E21C9">
              <w:rPr>
                <w:rFonts w:ascii="Times New Roman" w:hAnsi="Times New Roman" w:cs="Times New Roman"/>
                <w:i/>
                <w:iCs/>
              </w:rPr>
              <w:t xml:space="preserve"> </w:t>
            </w:r>
            <w:proofErr w:type="spellStart"/>
            <w:r w:rsidRPr="009E21C9">
              <w:rPr>
                <w:rFonts w:ascii="Times New Roman" w:hAnsi="Times New Roman" w:cs="Times New Roman"/>
                <w:i/>
                <w:iCs/>
              </w:rPr>
              <w:t>boulardii</w:t>
            </w:r>
            <w:proofErr w:type="spellEnd"/>
          </w:p>
        </w:tc>
        <w:tc>
          <w:tcPr>
            <w:tcW w:w="1842" w:type="dxa"/>
          </w:tcPr>
          <w:p w14:paraId="185482D1" w14:textId="77777777" w:rsidR="002B4ED5" w:rsidRPr="009E21C9" w:rsidRDefault="002B4ED5" w:rsidP="003905F2">
            <w:pPr>
              <w:rPr>
                <w:rFonts w:ascii="Times New Roman" w:hAnsi="Times New Roman" w:cs="Times New Roman"/>
              </w:rPr>
            </w:pPr>
          </w:p>
          <w:p w14:paraId="7D2B3967"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532 x 10</w:t>
            </w:r>
            <w:r w:rsidRPr="009E21C9">
              <w:rPr>
                <w:rFonts w:ascii="Times New Roman" w:hAnsi="Times New Roman" w:cs="Times New Roman"/>
                <w:vertAlign w:val="superscript"/>
              </w:rPr>
              <w:t>9</w:t>
            </w:r>
            <w:r w:rsidRPr="009E21C9">
              <w:rPr>
                <w:rFonts w:ascii="Times New Roman" w:hAnsi="Times New Roman" w:cs="Times New Roman"/>
              </w:rPr>
              <w:t xml:space="preserve"> CFU*</w:t>
            </w:r>
          </w:p>
        </w:tc>
        <w:tc>
          <w:tcPr>
            <w:tcW w:w="3397" w:type="dxa"/>
          </w:tcPr>
          <w:p w14:paraId="7E462E6F" w14:textId="77777777" w:rsidR="002B4ED5" w:rsidRPr="009E21C9" w:rsidRDefault="002B4ED5" w:rsidP="003905F2">
            <w:pPr>
              <w:rPr>
                <w:rFonts w:ascii="Times New Roman" w:hAnsi="Times New Roman" w:cs="Times New Roman"/>
              </w:rPr>
            </w:pPr>
          </w:p>
          <w:p w14:paraId="657048A4"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2 x 10</w:t>
            </w:r>
            <w:r w:rsidRPr="009E21C9">
              <w:rPr>
                <w:rFonts w:ascii="Times New Roman" w:hAnsi="Times New Roman" w:cs="Times New Roman"/>
                <w:vertAlign w:val="superscript"/>
              </w:rPr>
              <w:t>9</w:t>
            </w:r>
            <w:r w:rsidRPr="009E21C9">
              <w:rPr>
                <w:rFonts w:ascii="Times New Roman" w:hAnsi="Times New Roman" w:cs="Times New Roman"/>
              </w:rPr>
              <w:t xml:space="preserve"> CFU*</w:t>
            </w:r>
          </w:p>
        </w:tc>
      </w:tr>
      <w:tr w:rsidR="002B4ED5" w:rsidRPr="009E21C9" w14:paraId="31DD588D" w14:textId="77777777" w:rsidTr="00F75D7F">
        <w:trPr>
          <w:trHeight w:val="262"/>
        </w:trPr>
        <w:tc>
          <w:tcPr>
            <w:tcW w:w="2689" w:type="dxa"/>
          </w:tcPr>
          <w:p w14:paraId="49D1E8EB"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Bakterie mléčného kvašení:</w:t>
            </w:r>
          </w:p>
          <w:p w14:paraId="14E16D25" w14:textId="77777777" w:rsidR="002B4ED5" w:rsidRPr="009E21C9" w:rsidRDefault="002B4ED5" w:rsidP="003905F2">
            <w:pPr>
              <w:rPr>
                <w:rFonts w:ascii="Times New Roman" w:hAnsi="Times New Roman" w:cs="Times New Roman"/>
              </w:rPr>
            </w:pPr>
            <w:proofErr w:type="spellStart"/>
            <w:r w:rsidRPr="009E21C9">
              <w:rPr>
                <w:rFonts w:ascii="Times New Roman" w:hAnsi="Times New Roman" w:cs="Times New Roman"/>
                <w:i/>
                <w:iCs/>
              </w:rPr>
              <w:t>Lactobacillus</w:t>
            </w:r>
            <w:proofErr w:type="spellEnd"/>
            <w:r w:rsidRPr="009E21C9">
              <w:rPr>
                <w:rFonts w:ascii="Times New Roman" w:hAnsi="Times New Roman" w:cs="Times New Roman"/>
                <w:i/>
                <w:iCs/>
              </w:rPr>
              <w:t xml:space="preserve"> </w:t>
            </w:r>
            <w:proofErr w:type="spellStart"/>
            <w:r w:rsidRPr="009E21C9">
              <w:rPr>
                <w:rFonts w:ascii="Times New Roman" w:hAnsi="Times New Roman" w:cs="Times New Roman"/>
                <w:i/>
                <w:iCs/>
              </w:rPr>
              <w:t>rhamnosus</w:t>
            </w:r>
            <w:proofErr w:type="spellEnd"/>
            <w:r w:rsidRPr="009E21C9">
              <w:rPr>
                <w:rFonts w:ascii="Times New Roman" w:hAnsi="Times New Roman" w:cs="Times New Roman"/>
              </w:rPr>
              <w:t xml:space="preserve"> GG</w:t>
            </w:r>
          </w:p>
          <w:p w14:paraId="2724DBE4" w14:textId="77777777" w:rsidR="002B4ED5" w:rsidRPr="009E21C9" w:rsidRDefault="002B4ED5" w:rsidP="003905F2">
            <w:pPr>
              <w:rPr>
                <w:rFonts w:ascii="Times New Roman" w:hAnsi="Times New Roman" w:cs="Times New Roman"/>
              </w:rPr>
            </w:pPr>
            <w:proofErr w:type="spellStart"/>
            <w:r w:rsidRPr="009E21C9">
              <w:rPr>
                <w:rFonts w:ascii="Times New Roman" w:hAnsi="Times New Roman" w:cs="Times New Roman"/>
                <w:i/>
                <w:iCs/>
              </w:rPr>
              <w:t>Bifidobacterium</w:t>
            </w:r>
            <w:proofErr w:type="spellEnd"/>
            <w:r w:rsidRPr="009E21C9">
              <w:rPr>
                <w:rFonts w:ascii="Times New Roman" w:hAnsi="Times New Roman" w:cs="Times New Roman"/>
                <w:i/>
                <w:iCs/>
              </w:rPr>
              <w:t xml:space="preserve"> </w:t>
            </w:r>
            <w:proofErr w:type="spellStart"/>
            <w:r w:rsidRPr="009E21C9">
              <w:rPr>
                <w:rFonts w:ascii="Times New Roman" w:hAnsi="Times New Roman" w:cs="Times New Roman"/>
                <w:i/>
                <w:iCs/>
              </w:rPr>
              <w:t>lactis</w:t>
            </w:r>
            <w:proofErr w:type="spellEnd"/>
          </w:p>
        </w:tc>
        <w:tc>
          <w:tcPr>
            <w:tcW w:w="1842" w:type="dxa"/>
          </w:tcPr>
          <w:p w14:paraId="49137F97" w14:textId="77777777" w:rsidR="002B4ED5" w:rsidRPr="009E21C9" w:rsidRDefault="002B4ED5" w:rsidP="003905F2">
            <w:pPr>
              <w:rPr>
                <w:rFonts w:ascii="Times New Roman" w:hAnsi="Times New Roman" w:cs="Times New Roman"/>
              </w:rPr>
            </w:pPr>
          </w:p>
          <w:p w14:paraId="0C12A5F1" w14:textId="6A5BA54E" w:rsidR="002B4ED5" w:rsidRPr="009E21C9" w:rsidRDefault="002B4ED5" w:rsidP="003905F2">
            <w:pPr>
              <w:rPr>
                <w:rFonts w:ascii="Times New Roman" w:hAnsi="Times New Roman" w:cs="Times New Roman"/>
              </w:rPr>
            </w:pPr>
            <w:r w:rsidRPr="009E21C9">
              <w:rPr>
                <w:rFonts w:ascii="Times New Roman" w:hAnsi="Times New Roman" w:cs="Times New Roman"/>
              </w:rPr>
              <w:t>532 x 10</w:t>
            </w:r>
            <w:r w:rsidRPr="009E21C9">
              <w:rPr>
                <w:rFonts w:ascii="Times New Roman" w:hAnsi="Times New Roman" w:cs="Times New Roman"/>
                <w:vertAlign w:val="superscript"/>
              </w:rPr>
              <w:t>9</w:t>
            </w:r>
            <w:r w:rsidRPr="009E21C9">
              <w:rPr>
                <w:rFonts w:ascii="Times New Roman" w:hAnsi="Times New Roman" w:cs="Times New Roman"/>
              </w:rPr>
              <w:t xml:space="preserve"> CFU*</w:t>
            </w:r>
          </w:p>
          <w:p w14:paraId="58E17F4B" w14:textId="77777777" w:rsidR="00E15B83" w:rsidRPr="009E21C9" w:rsidRDefault="00E15B83" w:rsidP="003905F2">
            <w:pPr>
              <w:rPr>
                <w:rFonts w:ascii="Times New Roman" w:hAnsi="Times New Roman" w:cs="Times New Roman"/>
              </w:rPr>
            </w:pPr>
          </w:p>
          <w:p w14:paraId="4274B91C"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532 x 10</w:t>
            </w:r>
            <w:r w:rsidRPr="009E21C9">
              <w:rPr>
                <w:rFonts w:ascii="Times New Roman" w:hAnsi="Times New Roman" w:cs="Times New Roman"/>
                <w:vertAlign w:val="superscript"/>
              </w:rPr>
              <w:t>9</w:t>
            </w:r>
            <w:r w:rsidRPr="009E21C9">
              <w:rPr>
                <w:rFonts w:ascii="Times New Roman" w:hAnsi="Times New Roman" w:cs="Times New Roman"/>
              </w:rPr>
              <w:t xml:space="preserve"> CFU*</w:t>
            </w:r>
          </w:p>
        </w:tc>
        <w:tc>
          <w:tcPr>
            <w:tcW w:w="3397" w:type="dxa"/>
          </w:tcPr>
          <w:p w14:paraId="5A3DD661" w14:textId="77777777" w:rsidR="002B4ED5" w:rsidRPr="009E21C9" w:rsidRDefault="002B4ED5" w:rsidP="003905F2">
            <w:pPr>
              <w:rPr>
                <w:rFonts w:ascii="Times New Roman" w:hAnsi="Times New Roman" w:cs="Times New Roman"/>
              </w:rPr>
            </w:pPr>
          </w:p>
          <w:p w14:paraId="1156359C"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2 x 10</w:t>
            </w:r>
            <w:r w:rsidRPr="009E21C9">
              <w:rPr>
                <w:rFonts w:ascii="Times New Roman" w:hAnsi="Times New Roman" w:cs="Times New Roman"/>
                <w:vertAlign w:val="superscript"/>
              </w:rPr>
              <w:t>9</w:t>
            </w:r>
            <w:r w:rsidRPr="009E21C9">
              <w:rPr>
                <w:rFonts w:ascii="Times New Roman" w:hAnsi="Times New Roman" w:cs="Times New Roman"/>
              </w:rPr>
              <w:t xml:space="preserve"> CFU*</w:t>
            </w:r>
          </w:p>
          <w:p w14:paraId="33536A81" w14:textId="77777777" w:rsidR="002B4ED5" w:rsidRPr="009E21C9" w:rsidRDefault="002B4ED5" w:rsidP="003905F2">
            <w:pPr>
              <w:rPr>
                <w:rFonts w:ascii="Times New Roman" w:hAnsi="Times New Roman" w:cs="Times New Roman"/>
              </w:rPr>
            </w:pPr>
          </w:p>
          <w:p w14:paraId="22299F9F"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2 x 10</w:t>
            </w:r>
            <w:r w:rsidRPr="009E21C9">
              <w:rPr>
                <w:rFonts w:ascii="Times New Roman" w:hAnsi="Times New Roman" w:cs="Times New Roman"/>
                <w:vertAlign w:val="superscript"/>
              </w:rPr>
              <w:t>9</w:t>
            </w:r>
            <w:r w:rsidRPr="009E21C9">
              <w:rPr>
                <w:rFonts w:ascii="Times New Roman" w:hAnsi="Times New Roman" w:cs="Times New Roman"/>
              </w:rPr>
              <w:t xml:space="preserve"> CFU*</w:t>
            </w:r>
          </w:p>
        </w:tc>
      </w:tr>
      <w:tr w:rsidR="002B4ED5" w:rsidRPr="009E21C9" w14:paraId="6EFD24F9" w14:textId="77777777" w:rsidTr="00F75D7F">
        <w:trPr>
          <w:trHeight w:val="41"/>
        </w:trPr>
        <w:tc>
          <w:tcPr>
            <w:tcW w:w="2689" w:type="dxa"/>
          </w:tcPr>
          <w:p w14:paraId="139ADF22" w14:textId="77777777" w:rsidR="002B4ED5" w:rsidRPr="009E21C9" w:rsidRDefault="002B4ED5" w:rsidP="003905F2">
            <w:pPr>
              <w:rPr>
                <w:rFonts w:ascii="Times New Roman" w:hAnsi="Times New Roman" w:cs="Times New Roman"/>
              </w:rPr>
            </w:pPr>
            <w:proofErr w:type="spellStart"/>
            <w:r w:rsidRPr="009E21C9">
              <w:rPr>
                <w:rFonts w:ascii="Times New Roman" w:hAnsi="Times New Roman" w:cs="Times New Roman"/>
              </w:rPr>
              <w:lastRenderedPageBreak/>
              <w:t>oligofruktóza</w:t>
            </w:r>
            <w:proofErr w:type="spellEnd"/>
          </w:p>
        </w:tc>
        <w:tc>
          <w:tcPr>
            <w:tcW w:w="1842" w:type="dxa"/>
          </w:tcPr>
          <w:p w14:paraId="376EE0E3"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21,3 g</w:t>
            </w:r>
          </w:p>
        </w:tc>
        <w:tc>
          <w:tcPr>
            <w:tcW w:w="3397" w:type="dxa"/>
          </w:tcPr>
          <w:p w14:paraId="33B62D85" w14:textId="77777777" w:rsidR="002B4ED5" w:rsidRPr="009E21C9" w:rsidRDefault="002B4ED5" w:rsidP="003905F2">
            <w:pPr>
              <w:rPr>
                <w:rFonts w:ascii="Times New Roman" w:hAnsi="Times New Roman" w:cs="Times New Roman"/>
              </w:rPr>
            </w:pPr>
            <w:r w:rsidRPr="009E21C9">
              <w:rPr>
                <w:rFonts w:ascii="Times New Roman" w:hAnsi="Times New Roman" w:cs="Times New Roman"/>
              </w:rPr>
              <w:t>80 mg</w:t>
            </w:r>
          </w:p>
        </w:tc>
      </w:tr>
    </w:tbl>
    <w:p w14:paraId="0080669D" w14:textId="77777777" w:rsidR="002B4ED5" w:rsidRPr="009E21C9" w:rsidRDefault="002B4ED5" w:rsidP="002B4ED5">
      <w:pPr>
        <w:rPr>
          <w:rFonts w:ascii="Times New Roman" w:hAnsi="Times New Roman" w:cs="Times New Roman"/>
        </w:rPr>
      </w:pPr>
      <w:r w:rsidRPr="009E21C9">
        <w:rPr>
          <w:rFonts w:ascii="Times New Roman" w:hAnsi="Times New Roman" w:cs="Times New Roman"/>
        </w:rPr>
        <w:t>*</w:t>
      </w:r>
      <w:proofErr w:type="gramStart"/>
      <w:r w:rsidRPr="009E21C9">
        <w:rPr>
          <w:rFonts w:ascii="Times New Roman" w:hAnsi="Times New Roman" w:cs="Times New Roman"/>
        </w:rPr>
        <w:t>CFU  –</w:t>
      </w:r>
      <w:proofErr w:type="gramEnd"/>
      <w:r w:rsidRPr="009E21C9">
        <w:rPr>
          <w:rFonts w:ascii="Times New Roman" w:hAnsi="Times New Roman" w:cs="Times New Roman"/>
        </w:rPr>
        <w:t xml:space="preserve"> počet živých probiotických mikroorganismů (jednotky tvořící kolonie)</w:t>
      </w:r>
    </w:p>
    <w:p w14:paraId="4EBB9C92" w14:textId="1F34FB99" w:rsidR="000F76F6" w:rsidRPr="009E21C9" w:rsidRDefault="000F76F6" w:rsidP="002B4ED5">
      <w:pPr>
        <w:rPr>
          <w:rFonts w:ascii="Times New Roman" w:hAnsi="Times New Roman" w:cs="Times New Roman"/>
          <w:b/>
          <w:bCs/>
        </w:rPr>
      </w:pPr>
      <w:r w:rsidRPr="009E21C9">
        <w:rPr>
          <w:rFonts w:ascii="Times New Roman" w:hAnsi="Times New Roman" w:cs="Times New Roman"/>
          <w:b/>
          <w:bCs/>
        </w:rPr>
        <w:t>Doporučená denní dávka:</w:t>
      </w:r>
    </w:p>
    <w:p w14:paraId="20A646F1" w14:textId="255051DF" w:rsidR="009C4D7B" w:rsidRPr="009E21C9" w:rsidRDefault="009C4D7B" w:rsidP="005A7AD8">
      <w:pPr>
        <w:rPr>
          <w:rFonts w:ascii="Times New Roman" w:hAnsi="Times New Roman" w:cs="Times New Roman"/>
          <w:bCs/>
        </w:rPr>
      </w:pPr>
      <w:r w:rsidRPr="009E21C9">
        <w:rPr>
          <w:rFonts w:ascii="Times New Roman" w:hAnsi="Times New Roman" w:cs="Times New Roman"/>
        </w:rPr>
        <w:t xml:space="preserve">1 </w:t>
      </w:r>
      <w:r w:rsidR="00E15B83" w:rsidRPr="009E21C9">
        <w:rPr>
          <w:rFonts w:ascii="Times New Roman" w:hAnsi="Times New Roman" w:cs="Times New Roman"/>
        </w:rPr>
        <w:t>kapsle</w:t>
      </w:r>
      <w:r w:rsidRPr="009E21C9">
        <w:rPr>
          <w:rFonts w:ascii="Times New Roman" w:hAnsi="Times New Roman" w:cs="Times New Roman"/>
        </w:rPr>
        <w:t xml:space="preserve"> denně</w:t>
      </w:r>
      <w:r w:rsidRPr="009E21C9">
        <w:rPr>
          <w:rFonts w:ascii="Times New Roman" w:hAnsi="Times New Roman" w:cs="Times New Roman"/>
          <w:bCs/>
        </w:rPr>
        <w:t xml:space="preserve"> </w:t>
      </w:r>
    </w:p>
    <w:p w14:paraId="2A696E25" w14:textId="289CE5F6" w:rsidR="001C11C5" w:rsidRPr="009E21C9" w:rsidRDefault="00055F30" w:rsidP="001C11C5">
      <w:pPr>
        <w:rPr>
          <w:rFonts w:ascii="Times New Roman" w:hAnsi="Times New Roman" w:cs="Times New Roman"/>
          <w:b/>
          <w:bCs/>
        </w:rPr>
      </w:pPr>
      <w:r w:rsidRPr="009E21C9">
        <w:rPr>
          <w:rFonts w:ascii="Times New Roman" w:hAnsi="Times New Roman" w:cs="Times New Roman"/>
          <w:b/>
          <w:bCs/>
        </w:rPr>
        <w:t>Návod k použití:</w:t>
      </w:r>
    </w:p>
    <w:p w14:paraId="26D09548" w14:textId="3B8546D3" w:rsidR="00CC5A41" w:rsidRPr="009E21C9" w:rsidRDefault="00CC5A41" w:rsidP="00CC5A41">
      <w:pPr>
        <w:rPr>
          <w:rFonts w:ascii="Times New Roman" w:hAnsi="Times New Roman" w:cs="Times New Roman"/>
        </w:rPr>
      </w:pPr>
      <w:r w:rsidRPr="009E21C9">
        <w:rPr>
          <w:rFonts w:ascii="Times New Roman" w:hAnsi="Times New Roman" w:cs="Times New Roman"/>
        </w:rPr>
        <w:t>Děti od 3 let a dospělí: během jídla nebo po jídle spolknout a zapít vodou nebo jinou tekutinou pokojové teploty.</w:t>
      </w:r>
    </w:p>
    <w:p w14:paraId="2AFBB88F" w14:textId="0A501CF0" w:rsidR="00CC5A41" w:rsidRPr="009E21C9" w:rsidRDefault="00CC5A41" w:rsidP="00CC5A41">
      <w:pPr>
        <w:rPr>
          <w:rFonts w:ascii="Times New Roman" w:hAnsi="Times New Roman" w:cs="Times New Roman"/>
        </w:rPr>
      </w:pPr>
      <w:r w:rsidRPr="009E21C9">
        <w:rPr>
          <w:rFonts w:ascii="Times New Roman" w:hAnsi="Times New Roman" w:cs="Times New Roman"/>
        </w:rPr>
        <w:t xml:space="preserve">V případě potíží s polykáním může být </w:t>
      </w:r>
      <w:r w:rsidR="00E77EEF" w:rsidRPr="009E21C9">
        <w:rPr>
          <w:rFonts w:ascii="Times New Roman" w:hAnsi="Times New Roman" w:cs="Times New Roman"/>
        </w:rPr>
        <w:t>kapsle</w:t>
      </w:r>
      <w:r w:rsidRPr="009E21C9">
        <w:rPr>
          <w:rFonts w:ascii="Times New Roman" w:hAnsi="Times New Roman" w:cs="Times New Roman"/>
        </w:rPr>
        <w:t xml:space="preserve"> otevřena a její obsah smíchán s tekutinou a vypit. Konzumujte ihned po přípravě. </w:t>
      </w:r>
    </w:p>
    <w:p w14:paraId="15E411C8" w14:textId="2EC2E9B7" w:rsidR="00CC5A41" w:rsidRPr="009E21C9" w:rsidRDefault="00CC5A41" w:rsidP="00CC5A41">
      <w:pPr>
        <w:rPr>
          <w:rFonts w:ascii="Times New Roman" w:hAnsi="Times New Roman" w:cs="Times New Roman"/>
        </w:rPr>
      </w:pPr>
      <w:r w:rsidRPr="009E21C9">
        <w:rPr>
          <w:rFonts w:ascii="Times New Roman" w:hAnsi="Times New Roman" w:cs="Times New Roman"/>
        </w:rPr>
        <w:t xml:space="preserve">Kojenci od 1 měsíce a děti do 3 let: obsah </w:t>
      </w:r>
      <w:r w:rsidR="00E77EEF" w:rsidRPr="009E21C9">
        <w:rPr>
          <w:rFonts w:ascii="Times New Roman" w:hAnsi="Times New Roman" w:cs="Times New Roman"/>
        </w:rPr>
        <w:t>kapsle</w:t>
      </w:r>
      <w:r w:rsidRPr="009E21C9">
        <w:rPr>
          <w:rFonts w:ascii="Times New Roman" w:hAnsi="Times New Roman" w:cs="Times New Roman"/>
        </w:rPr>
        <w:t xml:space="preserve"> rozpustit v nejméně 100 ml tekutiny, např. teplé vody, odsátého mateřského mléka nebo polotuhé stravy.</w:t>
      </w:r>
    </w:p>
    <w:p w14:paraId="67B379DB" w14:textId="6840C56C" w:rsidR="00492022" w:rsidRPr="009E21C9" w:rsidRDefault="00BB3840" w:rsidP="00F06F2C">
      <w:pPr>
        <w:rPr>
          <w:rFonts w:ascii="Times New Roman" w:hAnsi="Times New Roman" w:cs="Times New Roman"/>
        </w:rPr>
      </w:pPr>
      <w:r w:rsidRPr="009E21C9">
        <w:rPr>
          <w:rFonts w:ascii="Times New Roman" w:hAnsi="Times New Roman" w:cs="Times New Roman"/>
          <w:b/>
        </w:rPr>
        <w:t>SLOŽENÍ</w:t>
      </w:r>
      <w:r w:rsidR="00F06F2C" w:rsidRPr="009E21C9">
        <w:rPr>
          <w:rFonts w:ascii="Times New Roman" w:hAnsi="Times New Roman" w:cs="Times New Roman"/>
          <w:b/>
        </w:rPr>
        <w:t>:</w:t>
      </w:r>
      <w:r w:rsidR="00F06F2C" w:rsidRPr="009E21C9">
        <w:rPr>
          <w:rFonts w:ascii="Times New Roman" w:hAnsi="Times New Roman" w:cs="Times New Roman"/>
        </w:rPr>
        <w:t xml:space="preserve"> Kvasinky </w:t>
      </w:r>
      <w:proofErr w:type="spellStart"/>
      <w:r w:rsidR="00F06F2C" w:rsidRPr="009E21C9">
        <w:rPr>
          <w:rFonts w:ascii="Times New Roman" w:hAnsi="Times New Roman" w:cs="Times New Roman"/>
          <w:i/>
          <w:iCs/>
        </w:rPr>
        <w:t>Saccharomyces</w:t>
      </w:r>
      <w:proofErr w:type="spellEnd"/>
      <w:r w:rsidR="00F06F2C" w:rsidRPr="009E21C9">
        <w:rPr>
          <w:rFonts w:ascii="Times New Roman" w:hAnsi="Times New Roman" w:cs="Times New Roman"/>
          <w:i/>
          <w:iCs/>
        </w:rPr>
        <w:t xml:space="preserve"> </w:t>
      </w:r>
      <w:proofErr w:type="spellStart"/>
      <w:r w:rsidR="00F06F2C" w:rsidRPr="009E21C9">
        <w:rPr>
          <w:rFonts w:ascii="Times New Roman" w:hAnsi="Times New Roman" w:cs="Times New Roman"/>
          <w:i/>
          <w:iCs/>
        </w:rPr>
        <w:t>boulardii</w:t>
      </w:r>
      <w:proofErr w:type="spellEnd"/>
      <w:r w:rsidR="00F06F2C" w:rsidRPr="009E21C9">
        <w:rPr>
          <w:rFonts w:ascii="Times New Roman" w:hAnsi="Times New Roman" w:cs="Times New Roman"/>
        </w:rPr>
        <w:t xml:space="preserve">, potahová </w:t>
      </w:r>
      <w:r w:rsidR="00F75D7F" w:rsidRPr="009E21C9">
        <w:rPr>
          <w:rFonts w:ascii="Times New Roman" w:hAnsi="Times New Roman" w:cs="Times New Roman"/>
        </w:rPr>
        <w:t xml:space="preserve">složka – </w:t>
      </w:r>
      <w:proofErr w:type="spellStart"/>
      <w:r w:rsidR="00F75D7F" w:rsidRPr="009E21C9">
        <w:rPr>
          <w:rFonts w:ascii="Times New Roman" w:hAnsi="Times New Roman" w:cs="Times New Roman"/>
        </w:rPr>
        <w:t>hydroxypropylmethylcelulóza</w:t>
      </w:r>
      <w:proofErr w:type="spellEnd"/>
      <w:r w:rsidR="00F06F2C" w:rsidRPr="009E21C9">
        <w:rPr>
          <w:rFonts w:ascii="Times New Roman" w:hAnsi="Times New Roman" w:cs="Times New Roman"/>
        </w:rPr>
        <w:t>,</w:t>
      </w:r>
      <w:r w:rsidR="00401650" w:rsidRPr="009E21C9">
        <w:rPr>
          <w:rFonts w:ascii="Times New Roman" w:hAnsi="Times New Roman" w:cs="Times New Roman"/>
        </w:rPr>
        <w:t xml:space="preserve"> </w:t>
      </w:r>
      <w:proofErr w:type="spellStart"/>
      <w:r w:rsidR="00F06F2C" w:rsidRPr="009E21C9">
        <w:rPr>
          <w:rFonts w:ascii="Times New Roman" w:hAnsi="Times New Roman" w:cs="Times New Roman"/>
        </w:rPr>
        <w:t>oligofruktóza</w:t>
      </w:r>
      <w:proofErr w:type="spellEnd"/>
      <w:r w:rsidR="00F06F2C" w:rsidRPr="009E21C9">
        <w:rPr>
          <w:rFonts w:ascii="Times New Roman" w:hAnsi="Times New Roman" w:cs="Times New Roman"/>
        </w:rPr>
        <w:t xml:space="preserve">, </w:t>
      </w:r>
      <w:r w:rsidR="009E21C9" w:rsidRPr="009E21C9">
        <w:rPr>
          <w:rFonts w:ascii="Times New Roman" w:hAnsi="Times New Roman" w:cs="Times New Roman"/>
        </w:rPr>
        <w:t>plnidlo – mikrokrystalická</w:t>
      </w:r>
      <w:bookmarkStart w:id="0" w:name="_GoBack"/>
      <w:bookmarkEnd w:id="0"/>
      <w:r w:rsidR="00F06F2C" w:rsidRPr="009E21C9">
        <w:rPr>
          <w:rFonts w:ascii="Times New Roman" w:hAnsi="Times New Roman" w:cs="Times New Roman"/>
        </w:rPr>
        <w:t xml:space="preserve"> </w:t>
      </w:r>
      <w:r w:rsidR="00F75D7F" w:rsidRPr="009E21C9">
        <w:rPr>
          <w:rFonts w:ascii="Times New Roman" w:hAnsi="Times New Roman" w:cs="Times New Roman"/>
        </w:rPr>
        <w:t>celulóza</w:t>
      </w:r>
      <w:r w:rsidR="00F06F2C" w:rsidRPr="009E21C9">
        <w:rPr>
          <w:rFonts w:ascii="Times New Roman" w:hAnsi="Times New Roman" w:cs="Times New Roman"/>
        </w:rPr>
        <w:t xml:space="preserve"> (E460), bakterie mléčného kvašení </w:t>
      </w:r>
      <w:proofErr w:type="spellStart"/>
      <w:r w:rsidR="00F06F2C" w:rsidRPr="009E21C9">
        <w:rPr>
          <w:rFonts w:ascii="Times New Roman" w:hAnsi="Times New Roman" w:cs="Times New Roman"/>
          <w:i/>
          <w:iCs/>
        </w:rPr>
        <w:t>Lactobacillus</w:t>
      </w:r>
      <w:proofErr w:type="spellEnd"/>
      <w:r w:rsidR="00F06F2C" w:rsidRPr="009E21C9">
        <w:rPr>
          <w:rFonts w:ascii="Times New Roman" w:hAnsi="Times New Roman" w:cs="Times New Roman"/>
          <w:i/>
          <w:iCs/>
        </w:rPr>
        <w:t xml:space="preserve"> </w:t>
      </w:r>
      <w:proofErr w:type="spellStart"/>
      <w:r w:rsidR="00F06F2C" w:rsidRPr="009E21C9">
        <w:rPr>
          <w:rFonts w:ascii="Times New Roman" w:hAnsi="Times New Roman" w:cs="Times New Roman"/>
          <w:i/>
          <w:iCs/>
        </w:rPr>
        <w:t>rhamnosus</w:t>
      </w:r>
      <w:proofErr w:type="spellEnd"/>
      <w:r w:rsidR="00F06F2C" w:rsidRPr="009E21C9">
        <w:rPr>
          <w:rFonts w:ascii="Times New Roman" w:hAnsi="Times New Roman" w:cs="Times New Roman"/>
        </w:rPr>
        <w:t xml:space="preserve"> GG ATCC 53103, </w:t>
      </w:r>
      <w:proofErr w:type="spellStart"/>
      <w:r w:rsidR="00F06F2C" w:rsidRPr="009E21C9">
        <w:rPr>
          <w:rFonts w:ascii="Times New Roman" w:hAnsi="Times New Roman" w:cs="Times New Roman"/>
          <w:i/>
          <w:iCs/>
        </w:rPr>
        <w:t>Bifidobacterium</w:t>
      </w:r>
      <w:proofErr w:type="spellEnd"/>
      <w:r w:rsidR="00F06F2C" w:rsidRPr="009E21C9">
        <w:rPr>
          <w:rFonts w:ascii="Times New Roman" w:hAnsi="Times New Roman" w:cs="Times New Roman"/>
          <w:i/>
          <w:iCs/>
        </w:rPr>
        <w:t xml:space="preserve"> </w:t>
      </w:r>
      <w:proofErr w:type="spellStart"/>
      <w:r w:rsidR="00F06F2C" w:rsidRPr="009E21C9">
        <w:rPr>
          <w:rFonts w:ascii="Times New Roman" w:hAnsi="Times New Roman" w:cs="Times New Roman"/>
          <w:i/>
          <w:iCs/>
        </w:rPr>
        <w:t>lactis</w:t>
      </w:r>
      <w:proofErr w:type="spellEnd"/>
      <w:r w:rsidR="00F06F2C" w:rsidRPr="009E21C9">
        <w:rPr>
          <w:rFonts w:ascii="Times New Roman" w:hAnsi="Times New Roman" w:cs="Times New Roman"/>
        </w:rPr>
        <w:t xml:space="preserve"> DSM 10140, želírující </w:t>
      </w:r>
      <w:proofErr w:type="gramStart"/>
      <w:r w:rsidR="00F06F2C" w:rsidRPr="009E21C9">
        <w:rPr>
          <w:rFonts w:ascii="Times New Roman" w:hAnsi="Times New Roman" w:cs="Times New Roman"/>
        </w:rPr>
        <w:t>látka - guma</w:t>
      </w:r>
      <w:proofErr w:type="gramEnd"/>
      <w:r w:rsidR="00F06F2C" w:rsidRPr="009E21C9">
        <w:rPr>
          <w:rFonts w:ascii="Times New Roman" w:hAnsi="Times New Roman" w:cs="Times New Roman"/>
        </w:rPr>
        <w:t xml:space="preserve"> </w:t>
      </w:r>
      <w:proofErr w:type="spellStart"/>
      <w:r w:rsidR="00F06F2C" w:rsidRPr="009E21C9">
        <w:rPr>
          <w:rFonts w:ascii="Times New Roman" w:hAnsi="Times New Roman" w:cs="Times New Roman"/>
        </w:rPr>
        <w:t>gellan</w:t>
      </w:r>
      <w:proofErr w:type="spellEnd"/>
      <w:r w:rsidR="00F06F2C" w:rsidRPr="009E21C9">
        <w:rPr>
          <w:rFonts w:ascii="Times New Roman" w:hAnsi="Times New Roman" w:cs="Times New Roman"/>
        </w:rPr>
        <w:t xml:space="preserve"> (potahová složka), protispékavá látka - hořečnaté soli mastných kyselin, barvivo - oxid titaničitý (potahová složka).</w:t>
      </w:r>
    </w:p>
    <w:p w14:paraId="367193D7" w14:textId="77777777" w:rsidR="00473290" w:rsidRPr="009E21C9" w:rsidRDefault="00BB3840" w:rsidP="00473290">
      <w:pPr>
        <w:rPr>
          <w:rFonts w:ascii="Times New Roman" w:hAnsi="Times New Roman" w:cs="Times New Roman"/>
        </w:rPr>
      </w:pPr>
      <w:r w:rsidRPr="009E21C9">
        <w:rPr>
          <w:rFonts w:ascii="Times New Roman" w:hAnsi="Times New Roman" w:cs="Times New Roman"/>
          <w:b/>
        </w:rPr>
        <w:t>UPOZORNĚNÍ</w:t>
      </w:r>
      <w:r w:rsidRPr="009E21C9">
        <w:rPr>
          <w:rFonts w:ascii="Times New Roman" w:hAnsi="Times New Roman" w:cs="Times New Roman"/>
          <w:bCs/>
        </w:rPr>
        <w:t xml:space="preserve">: </w:t>
      </w:r>
      <w:r w:rsidR="00473290" w:rsidRPr="009E21C9">
        <w:rPr>
          <w:rFonts w:ascii="Times New Roman" w:hAnsi="Times New Roman" w:cs="Times New Roman"/>
        </w:rPr>
        <w:t>Není určeno pro parenterální výživu. Uchovávejte mimo dosah dětí. Výrobek může obsahovat stopová množství mléčné bílkoviny nebo sójové bílkoviny. Neužívejte při alergii na kteroukoliv složku přípravku. Nepřekračujte doporučenou denní dávku. Doplňky stravy neslouží jako náhrada pestré a vyvážené stravy. a zdravého životního stylu.</w:t>
      </w:r>
    </w:p>
    <w:p w14:paraId="416C598E" w14:textId="5AEE7516" w:rsidR="00A26B3B" w:rsidRPr="009E21C9" w:rsidRDefault="00BB3840" w:rsidP="00473290">
      <w:pPr>
        <w:jc w:val="both"/>
        <w:rPr>
          <w:rFonts w:ascii="Times New Roman" w:hAnsi="Times New Roman" w:cs="Times New Roman"/>
        </w:rPr>
      </w:pPr>
      <w:r w:rsidRPr="009E21C9">
        <w:rPr>
          <w:rFonts w:ascii="Times New Roman" w:hAnsi="Times New Roman" w:cs="Times New Roman"/>
          <w:b/>
          <w:bCs/>
        </w:rPr>
        <w:t>UCHOVÁVÁNÍ:</w:t>
      </w:r>
      <w:r w:rsidR="00D97273" w:rsidRPr="009E21C9">
        <w:rPr>
          <w:rFonts w:ascii="Times New Roman" w:hAnsi="Times New Roman" w:cs="Times New Roman"/>
        </w:rPr>
        <w:t xml:space="preserve"> </w:t>
      </w:r>
      <w:r w:rsidR="00F82BA1" w:rsidRPr="009E21C9">
        <w:rPr>
          <w:rFonts w:ascii="Times New Roman" w:hAnsi="Times New Roman" w:cs="Times New Roman"/>
        </w:rPr>
        <w:t xml:space="preserve">Produkt obsahuje živé kultury bakterií a kvasinek, které jsou citlivé na teplo a zvýšenou vlhkost. Skladujte při pokojové teplotě nebo v chladničce (při </w:t>
      </w:r>
      <w:proofErr w:type="gramStart"/>
      <w:r w:rsidR="00F82BA1" w:rsidRPr="009E21C9">
        <w:rPr>
          <w:rFonts w:ascii="Times New Roman" w:hAnsi="Times New Roman" w:cs="Times New Roman"/>
        </w:rPr>
        <w:t>2 – 25</w:t>
      </w:r>
      <w:proofErr w:type="gramEnd"/>
      <w:r w:rsidR="00F82BA1" w:rsidRPr="009E21C9">
        <w:rPr>
          <w:rFonts w:ascii="Times New Roman" w:hAnsi="Times New Roman" w:cs="Times New Roman"/>
        </w:rPr>
        <w:t>°C).</w:t>
      </w:r>
    </w:p>
    <w:p w14:paraId="59D1C68C" w14:textId="2F7AD377" w:rsidR="00132927" w:rsidRPr="009E21C9" w:rsidRDefault="00132927" w:rsidP="00132927">
      <w:pPr>
        <w:rPr>
          <w:rFonts w:ascii="Times New Roman" w:hAnsi="Times New Roman" w:cs="Times New Roman"/>
        </w:rPr>
      </w:pPr>
      <w:r w:rsidRPr="009E21C9">
        <w:rPr>
          <w:rFonts w:ascii="Times New Roman" w:hAnsi="Times New Roman" w:cs="Times New Roman"/>
          <w:b/>
          <w:bCs/>
        </w:rPr>
        <w:t xml:space="preserve">VELIKOST BALENÍ: </w:t>
      </w:r>
      <w:r w:rsidR="00F82BA1" w:rsidRPr="009E21C9">
        <w:rPr>
          <w:rFonts w:ascii="Times New Roman" w:hAnsi="Times New Roman" w:cs="Times New Roman"/>
        </w:rPr>
        <w:t>10 kapslí</w:t>
      </w:r>
      <w:r w:rsidR="00976EB6" w:rsidRPr="009E21C9">
        <w:rPr>
          <w:rFonts w:ascii="Times New Roman" w:hAnsi="Times New Roman" w:cs="Times New Roman"/>
        </w:rPr>
        <w:t>, 3,76 g</w:t>
      </w:r>
    </w:p>
    <w:p w14:paraId="5FBACB9D" w14:textId="2CE92EE6" w:rsidR="00132927" w:rsidRPr="009E21C9" w:rsidRDefault="00132927" w:rsidP="00132927">
      <w:pPr>
        <w:rPr>
          <w:rFonts w:ascii="Times New Roman" w:hAnsi="Times New Roman" w:cs="Times New Roman"/>
        </w:rPr>
      </w:pPr>
      <w:r w:rsidRPr="009E21C9">
        <w:rPr>
          <w:rFonts w:ascii="Times New Roman" w:hAnsi="Times New Roman" w:cs="Times New Roman"/>
          <w:b/>
          <w:bCs/>
        </w:rPr>
        <w:t xml:space="preserve">Minimální trvanlivost do konce a číslo šarže: </w:t>
      </w:r>
      <w:r w:rsidRPr="009E21C9">
        <w:rPr>
          <w:rFonts w:ascii="Times New Roman" w:hAnsi="Times New Roman" w:cs="Times New Roman"/>
        </w:rPr>
        <w:t xml:space="preserve">viz </w:t>
      </w:r>
      <w:r w:rsidR="00A201A6" w:rsidRPr="009E21C9">
        <w:rPr>
          <w:rFonts w:ascii="Times New Roman" w:hAnsi="Times New Roman" w:cs="Times New Roman"/>
        </w:rPr>
        <w:t>obal</w:t>
      </w:r>
    </w:p>
    <w:p w14:paraId="57ED1002" w14:textId="77777777" w:rsidR="007F4EE9" w:rsidRPr="009E21C9" w:rsidRDefault="007F4EE9" w:rsidP="007F4EE9">
      <w:pPr>
        <w:rPr>
          <w:rFonts w:ascii="Times New Roman" w:hAnsi="Times New Roman" w:cs="Times New Roman"/>
        </w:rPr>
      </w:pPr>
      <w:r w:rsidRPr="009E21C9">
        <w:rPr>
          <w:rFonts w:ascii="Times New Roman" w:hAnsi="Times New Roman" w:cs="Times New Roman"/>
          <w:b/>
          <w:bCs/>
        </w:rPr>
        <w:t xml:space="preserve">VÝROBCE: </w:t>
      </w:r>
      <w:r w:rsidRPr="009E21C9">
        <w:rPr>
          <w:rFonts w:ascii="Times New Roman" w:hAnsi="Times New Roman" w:cs="Times New Roman"/>
        </w:rPr>
        <w:t xml:space="preserve">Pamex </w:t>
      </w:r>
      <w:proofErr w:type="spellStart"/>
      <w:r w:rsidRPr="009E21C9">
        <w:rPr>
          <w:rFonts w:ascii="Times New Roman" w:hAnsi="Times New Roman" w:cs="Times New Roman"/>
        </w:rPr>
        <w:t>Pharmaceuticals</w:t>
      </w:r>
      <w:proofErr w:type="spellEnd"/>
      <w:r w:rsidRPr="009E21C9">
        <w:rPr>
          <w:rFonts w:ascii="Times New Roman" w:hAnsi="Times New Roman" w:cs="Times New Roman"/>
        </w:rPr>
        <w:t xml:space="preserve"> </w:t>
      </w:r>
      <w:proofErr w:type="spellStart"/>
      <w:r w:rsidRPr="009E21C9">
        <w:rPr>
          <w:rFonts w:ascii="Times New Roman" w:hAnsi="Times New Roman" w:cs="Times New Roman"/>
        </w:rPr>
        <w:t>GmbH</w:t>
      </w:r>
      <w:proofErr w:type="spellEnd"/>
      <w:r w:rsidRPr="009E21C9">
        <w:rPr>
          <w:rFonts w:ascii="Times New Roman" w:hAnsi="Times New Roman" w:cs="Times New Roman"/>
        </w:rPr>
        <w:t xml:space="preserve">, In der </w:t>
      </w:r>
      <w:proofErr w:type="spellStart"/>
      <w:r w:rsidRPr="009E21C9">
        <w:rPr>
          <w:rFonts w:ascii="Times New Roman" w:hAnsi="Times New Roman" w:cs="Times New Roman"/>
        </w:rPr>
        <w:t>Stelzbach</w:t>
      </w:r>
      <w:proofErr w:type="spellEnd"/>
      <w:r w:rsidRPr="009E21C9">
        <w:rPr>
          <w:rFonts w:ascii="Times New Roman" w:hAnsi="Times New Roman" w:cs="Times New Roman"/>
        </w:rPr>
        <w:t xml:space="preserve"> 1, 65618 </w:t>
      </w:r>
      <w:proofErr w:type="spellStart"/>
      <w:r w:rsidRPr="009E21C9">
        <w:rPr>
          <w:rFonts w:ascii="Times New Roman" w:hAnsi="Times New Roman" w:cs="Times New Roman"/>
        </w:rPr>
        <w:t>Selters</w:t>
      </w:r>
      <w:proofErr w:type="spellEnd"/>
      <w:r w:rsidRPr="009E21C9">
        <w:rPr>
          <w:rFonts w:ascii="Times New Roman" w:hAnsi="Times New Roman" w:cs="Times New Roman"/>
        </w:rPr>
        <w:t>, Německo</w:t>
      </w:r>
    </w:p>
    <w:p w14:paraId="3C8BF01F" w14:textId="77777777" w:rsidR="007F4EE9" w:rsidRPr="009E21C9" w:rsidRDefault="007F4EE9" w:rsidP="007F4EE9">
      <w:pPr>
        <w:rPr>
          <w:rFonts w:ascii="Times New Roman" w:hAnsi="Times New Roman" w:cs="Times New Roman"/>
        </w:rPr>
      </w:pPr>
      <w:r w:rsidRPr="009E21C9">
        <w:rPr>
          <w:rFonts w:ascii="Times New Roman" w:hAnsi="Times New Roman" w:cs="Times New Roman"/>
          <w:b/>
          <w:bCs/>
        </w:rPr>
        <w:t xml:space="preserve">DISTRIBUTOR: </w:t>
      </w:r>
      <w:proofErr w:type="spellStart"/>
      <w:r w:rsidRPr="009E21C9">
        <w:rPr>
          <w:rFonts w:ascii="Times New Roman" w:hAnsi="Times New Roman" w:cs="Times New Roman"/>
        </w:rPr>
        <w:t>Sirowa</w:t>
      </w:r>
      <w:proofErr w:type="spellEnd"/>
      <w:r w:rsidRPr="009E21C9">
        <w:rPr>
          <w:rFonts w:ascii="Times New Roman" w:hAnsi="Times New Roman" w:cs="Times New Roman"/>
        </w:rPr>
        <w:t xml:space="preserve"> Czech s.r.o., Lomnického 1705/5, 140 00 Praha – Nusle, Česká republika</w:t>
      </w:r>
    </w:p>
    <w:p w14:paraId="08B90526" w14:textId="5B7E2D55" w:rsidR="00A201A6" w:rsidRPr="009E21C9" w:rsidRDefault="00A201A6" w:rsidP="00A201A6">
      <w:pPr>
        <w:rPr>
          <w:rFonts w:ascii="Times New Roman" w:hAnsi="Times New Roman" w:cs="Times New Roman"/>
        </w:rPr>
      </w:pPr>
      <w:r w:rsidRPr="009E21C9">
        <w:rPr>
          <w:rFonts w:ascii="Times New Roman" w:hAnsi="Times New Roman" w:cs="Times New Roman"/>
        </w:rPr>
        <w:t xml:space="preserve">Produktová řada </w:t>
      </w:r>
      <w:proofErr w:type="spellStart"/>
      <w:r w:rsidRPr="009E21C9">
        <w:rPr>
          <w:rFonts w:ascii="Times New Roman" w:hAnsi="Times New Roman" w:cs="Times New Roman"/>
        </w:rPr>
        <w:t>Compliflora</w:t>
      </w:r>
      <w:proofErr w:type="spellEnd"/>
      <w:r w:rsidRPr="009E21C9">
        <w:rPr>
          <w:rFonts w:ascii="Times New Roman" w:hAnsi="Times New Roman" w:cs="Times New Roman"/>
        </w:rPr>
        <w:t xml:space="preserve"> obsahuje také následující varianty probiotik</w:t>
      </w:r>
      <w:r w:rsidR="00003DD7" w:rsidRPr="009E21C9">
        <w:rPr>
          <w:rFonts w:ascii="Times New Roman" w:hAnsi="Times New Roman" w:cs="Times New Roman"/>
        </w:rPr>
        <w:t xml:space="preserve"> a </w:t>
      </w:r>
      <w:proofErr w:type="spellStart"/>
      <w:r w:rsidR="00003DD7" w:rsidRPr="009E21C9">
        <w:rPr>
          <w:rFonts w:ascii="Times New Roman" w:hAnsi="Times New Roman" w:cs="Times New Roman"/>
        </w:rPr>
        <w:t>prebiotik</w:t>
      </w:r>
      <w:proofErr w:type="spellEnd"/>
      <w:r w:rsidRPr="009E21C9">
        <w:rPr>
          <w:rFonts w:ascii="Times New Roman" w:hAnsi="Times New Roman" w:cs="Times New Roman"/>
        </w:rPr>
        <w:t>:</w:t>
      </w:r>
    </w:p>
    <w:p w14:paraId="5AAB8374" w14:textId="3E391B93" w:rsidR="00A201A6" w:rsidRPr="009E21C9" w:rsidRDefault="00A201A6" w:rsidP="00A201A6">
      <w:pPr>
        <w:rPr>
          <w:rFonts w:ascii="Times New Roman" w:hAnsi="Times New Roman" w:cs="Times New Roman"/>
        </w:rPr>
      </w:pPr>
      <w:proofErr w:type="spellStart"/>
      <w:r w:rsidRPr="009E21C9">
        <w:rPr>
          <w:rFonts w:ascii="Times New Roman" w:hAnsi="Times New Roman" w:cs="Times New Roman"/>
        </w:rPr>
        <w:t>Compliflora</w:t>
      </w:r>
      <w:proofErr w:type="spellEnd"/>
      <w:r w:rsidRPr="009E21C9">
        <w:rPr>
          <w:rFonts w:ascii="Times New Roman" w:hAnsi="Times New Roman" w:cs="Times New Roman"/>
        </w:rPr>
        <w:t xml:space="preserve"> </w:t>
      </w:r>
      <w:r w:rsidR="005E6530" w:rsidRPr="009E21C9">
        <w:rPr>
          <w:rFonts w:ascii="Times New Roman" w:hAnsi="Times New Roman" w:cs="Times New Roman"/>
        </w:rPr>
        <w:t>baby kapky</w:t>
      </w:r>
    </w:p>
    <w:p w14:paraId="00DEE27E" w14:textId="5F882B1B" w:rsidR="00A201A6" w:rsidRPr="009E21C9" w:rsidRDefault="005E6530" w:rsidP="00A201A6">
      <w:pPr>
        <w:rPr>
          <w:rFonts w:ascii="Times New Roman" w:hAnsi="Times New Roman" w:cs="Times New Roman"/>
        </w:rPr>
      </w:pPr>
      <w:r w:rsidRPr="009E21C9">
        <w:rPr>
          <w:rFonts w:ascii="Times New Roman" w:hAnsi="Times New Roman" w:cs="Times New Roman"/>
        </w:rPr>
        <w:t>5 ml</w:t>
      </w:r>
    </w:p>
    <w:p w14:paraId="01A3BE17" w14:textId="77777777" w:rsidR="00A201A6" w:rsidRPr="009E21C9" w:rsidRDefault="00A201A6" w:rsidP="00A201A6">
      <w:pPr>
        <w:rPr>
          <w:rFonts w:ascii="Times New Roman" w:hAnsi="Times New Roman" w:cs="Times New Roman"/>
        </w:rPr>
      </w:pPr>
      <w:proofErr w:type="spellStart"/>
      <w:r w:rsidRPr="009E21C9">
        <w:rPr>
          <w:rFonts w:ascii="Times New Roman" w:hAnsi="Times New Roman" w:cs="Times New Roman"/>
        </w:rPr>
        <w:t>Compliflora</w:t>
      </w:r>
      <w:proofErr w:type="spellEnd"/>
      <w:r w:rsidRPr="009E21C9">
        <w:rPr>
          <w:rFonts w:ascii="Times New Roman" w:hAnsi="Times New Roman" w:cs="Times New Roman"/>
        </w:rPr>
        <w:t xml:space="preserve"> </w:t>
      </w:r>
      <w:proofErr w:type="spellStart"/>
      <w:r w:rsidRPr="009E21C9">
        <w:rPr>
          <w:rFonts w:ascii="Times New Roman" w:hAnsi="Times New Roman" w:cs="Times New Roman"/>
        </w:rPr>
        <w:t>Immuno</w:t>
      </w:r>
      <w:proofErr w:type="spellEnd"/>
      <w:r w:rsidRPr="009E21C9">
        <w:rPr>
          <w:rFonts w:ascii="Times New Roman" w:hAnsi="Times New Roman" w:cs="Times New Roman"/>
        </w:rPr>
        <w:t xml:space="preserve"> </w:t>
      </w:r>
      <w:proofErr w:type="spellStart"/>
      <w:r w:rsidRPr="009E21C9">
        <w:rPr>
          <w:rFonts w:ascii="Times New Roman" w:hAnsi="Times New Roman" w:cs="Times New Roman"/>
        </w:rPr>
        <w:t>complex</w:t>
      </w:r>
      <w:proofErr w:type="spellEnd"/>
    </w:p>
    <w:p w14:paraId="01C02252" w14:textId="0EF70ABB" w:rsidR="00A201A6" w:rsidRPr="009E21C9" w:rsidRDefault="00A201A6" w:rsidP="00A201A6">
      <w:pPr>
        <w:rPr>
          <w:rFonts w:ascii="Times New Roman" w:hAnsi="Times New Roman" w:cs="Times New Roman"/>
        </w:rPr>
      </w:pPr>
      <w:r w:rsidRPr="009E21C9">
        <w:rPr>
          <w:rFonts w:ascii="Times New Roman" w:hAnsi="Times New Roman" w:cs="Times New Roman"/>
        </w:rPr>
        <w:t xml:space="preserve">30 </w:t>
      </w:r>
      <w:r w:rsidR="008F69E0" w:rsidRPr="009E21C9">
        <w:rPr>
          <w:rFonts w:ascii="Times New Roman" w:hAnsi="Times New Roman" w:cs="Times New Roman"/>
        </w:rPr>
        <w:t>kapslí</w:t>
      </w:r>
    </w:p>
    <w:p w14:paraId="42F157F9" w14:textId="77777777" w:rsidR="00A201A6" w:rsidRPr="009E21C9" w:rsidRDefault="00A201A6" w:rsidP="00A201A6">
      <w:pPr>
        <w:rPr>
          <w:rFonts w:ascii="Times New Roman" w:hAnsi="Times New Roman" w:cs="Times New Roman"/>
        </w:rPr>
      </w:pPr>
    </w:p>
    <w:p w14:paraId="0DDB5E82" w14:textId="615ACB4C" w:rsidR="00D97273" w:rsidRPr="009E21C9" w:rsidRDefault="00D97273" w:rsidP="00BB3840">
      <w:pPr>
        <w:rPr>
          <w:rFonts w:ascii="Times New Roman" w:hAnsi="Times New Roman" w:cs="Times New Roman"/>
        </w:rPr>
      </w:pPr>
    </w:p>
    <w:p w14:paraId="60B26EB2" w14:textId="77777777" w:rsidR="00BB3840" w:rsidRPr="009E21C9" w:rsidRDefault="00BB3840" w:rsidP="00BB3840">
      <w:pPr>
        <w:rPr>
          <w:rFonts w:ascii="Times New Roman" w:hAnsi="Times New Roman" w:cs="Times New Roman"/>
        </w:rPr>
      </w:pPr>
    </w:p>
    <w:sectPr w:rsidR="00BB3840" w:rsidRPr="009E2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7699" w14:textId="77777777" w:rsidR="003D3836" w:rsidRDefault="003D3836" w:rsidP="00B71FD1">
      <w:pPr>
        <w:spacing w:after="0" w:line="240" w:lineRule="auto"/>
      </w:pPr>
      <w:r>
        <w:separator/>
      </w:r>
    </w:p>
  </w:endnote>
  <w:endnote w:type="continuationSeparator" w:id="0">
    <w:p w14:paraId="7490928D" w14:textId="77777777" w:rsidR="003D3836" w:rsidRDefault="003D3836" w:rsidP="00B7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51CD" w14:textId="77777777" w:rsidR="003D3836" w:rsidRDefault="003D3836" w:rsidP="00B71FD1">
      <w:pPr>
        <w:spacing w:after="0" w:line="240" w:lineRule="auto"/>
      </w:pPr>
      <w:r>
        <w:separator/>
      </w:r>
    </w:p>
  </w:footnote>
  <w:footnote w:type="continuationSeparator" w:id="0">
    <w:p w14:paraId="7C2105D9" w14:textId="77777777" w:rsidR="003D3836" w:rsidRDefault="003D3836" w:rsidP="00B71FD1">
      <w:pPr>
        <w:spacing w:after="0" w:line="240" w:lineRule="auto"/>
      </w:pPr>
      <w:r>
        <w:continuationSeparator/>
      </w:r>
    </w:p>
  </w:footnote>
  <w:footnote w:id="1">
    <w:p w14:paraId="2D1488D4" w14:textId="2B836BCD" w:rsidR="00694952" w:rsidRPr="007A29A4" w:rsidRDefault="00694952">
      <w:pPr>
        <w:pStyle w:val="Textpoznpodarou"/>
        <w:rPr>
          <w:rFonts w:ascii="Segoe UI" w:hAnsi="Segoe UI" w:cs="Segoe UI"/>
          <w:color w:val="222222"/>
          <w:shd w:val="clear" w:color="auto" w:fill="FFFFFF"/>
        </w:rPr>
      </w:pPr>
      <w:r w:rsidRPr="007A29A4">
        <w:rPr>
          <w:rStyle w:val="Znakapoznpodarou"/>
        </w:rPr>
        <w:footnoteRef/>
      </w:r>
      <w:r w:rsidRPr="007A29A4">
        <w:t xml:space="preserve"> </w:t>
      </w:r>
      <w:r w:rsidRPr="007A29A4">
        <w:rPr>
          <w:rFonts w:ascii="Segoe UI" w:hAnsi="Segoe UI" w:cs="Segoe UI"/>
          <w:color w:val="222222"/>
          <w:shd w:val="clear" w:color="auto" w:fill="FFFFFF"/>
        </w:rPr>
        <w:t>Joint FAO/WHO Working Group on Evaluation of Probiotics (2002) Guidelines for the Evaluation of Probiotics in Food (London Ontario, Canada). Food and Agriculture Organization of the UN/World Health Organization.</w:t>
      </w:r>
    </w:p>
  </w:footnote>
  <w:footnote w:id="2">
    <w:p w14:paraId="01C22D56" w14:textId="551717D9" w:rsidR="00842AD7" w:rsidRDefault="00842AD7">
      <w:pPr>
        <w:pStyle w:val="Textpoznpodarou"/>
      </w:pPr>
      <w:r w:rsidRPr="00560302">
        <w:rPr>
          <w:rFonts w:ascii="Segoe UI" w:hAnsi="Segoe UI" w:cs="Segoe UI"/>
          <w:color w:val="222222"/>
          <w:shd w:val="clear" w:color="auto" w:fill="FFFFFF"/>
          <w:vertAlign w:val="superscript"/>
        </w:rPr>
        <w:footnoteRef/>
      </w:r>
      <w:r w:rsidRPr="007A29A4">
        <w:rPr>
          <w:rFonts w:ascii="Segoe UI" w:hAnsi="Segoe UI" w:cs="Segoe UI"/>
          <w:color w:val="222222"/>
          <w:shd w:val="clear" w:color="auto" w:fill="FFFFFF"/>
        </w:rPr>
        <w:t xml:space="preserve"> </w:t>
      </w:r>
      <w:r w:rsidR="00560302" w:rsidRPr="00560302">
        <w:rPr>
          <w:rFonts w:ascii="Segoe UI" w:hAnsi="Segoe UI" w:cs="Segoe UI"/>
          <w:color w:val="222222"/>
          <w:shd w:val="clear" w:color="auto" w:fill="FFFFFF"/>
        </w:rPr>
        <w:t>Expert consensus document: The International Scientific Association for Probiotics and Prebiotics (ISAPP) consensus statement on the definition and scope of prebiotics</w:t>
      </w:r>
      <w:r w:rsidR="00D332F6">
        <w:rPr>
          <w:rFonts w:ascii="Segoe UI" w:hAnsi="Segoe UI" w:cs="Segoe UI"/>
          <w:color w:val="222222"/>
          <w:shd w:val="clear" w:color="auto" w:fill="FFFFFF"/>
        </w:rPr>
        <w:t xml:space="preserve"> (2017)</w:t>
      </w:r>
      <w:r w:rsidR="004A3F84" w:rsidRPr="007A29A4">
        <w:rPr>
          <w:rFonts w:ascii="Segoe UI" w:hAnsi="Segoe UI" w:cs="Segoe UI"/>
          <w:color w:val="222222"/>
          <w:shd w:val="clear" w:color="auto" w:fill="FFFFFF"/>
        </w:rPr>
        <w:t>.</w:t>
      </w:r>
    </w:p>
  </w:footnote>
  <w:footnote w:id="3">
    <w:p w14:paraId="309A9E5D" w14:textId="1D07A1B5" w:rsidR="00843090" w:rsidRPr="00843090" w:rsidRDefault="00843090" w:rsidP="00843090">
      <w:pPr>
        <w:pStyle w:val="Textpoznpodarou"/>
        <w:rPr>
          <w:rFonts w:ascii="Segoe UI" w:hAnsi="Segoe UI" w:cs="Segoe UI"/>
          <w:color w:val="222222"/>
          <w:shd w:val="clear" w:color="auto" w:fill="FFFFFF"/>
        </w:rPr>
      </w:pPr>
      <w:r w:rsidRPr="00843090">
        <w:rPr>
          <w:rFonts w:ascii="Segoe UI" w:hAnsi="Segoe UI" w:cs="Segoe UI"/>
          <w:color w:val="222222"/>
          <w:shd w:val="clear" w:color="auto" w:fill="FFFFFF"/>
          <w:vertAlign w:val="superscript"/>
        </w:rPr>
        <w:footnoteRef/>
      </w:r>
      <w:r w:rsidRPr="00843090">
        <w:rPr>
          <w:rFonts w:ascii="Segoe UI" w:hAnsi="Segoe UI" w:cs="Segoe UI"/>
          <w:color w:val="222222"/>
          <w:shd w:val="clear" w:color="auto" w:fill="FFFFFF"/>
        </w:rPr>
        <w:t xml:space="preserve"> The International Scientific Association for Probiotics and Prebiotics (ISAPP) consensus statement on the definition and scope of synbiotics</w:t>
      </w:r>
      <w:r>
        <w:rPr>
          <w:rFonts w:ascii="Segoe UI" w:hAnsi="Segoe UI" w:cs="Segoe UI"/>
          <w:color w:val="222222"/>
          <w:shd w:val="clear" w:color="auto" w:fill="FFFFFF"/>
        </w:rPr>
        <w:t xml:space="preserve"> (2019)</w:t>
      </w:r>
    </w:p>
    <w:p w14:paraId="604C79D4" w14:textId="36BA2BCE" w:rsidR="00843090" w:rsidRDefault="00843090">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60E"/>
    <w:multiLevelType w:val="hybridMultilevel"/>
    <w:tmpl w:val="A55E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565B5"/>
    <w:multiLevelType w:val="hybridMultilevel"/>
    <w:tmpl w:val="3BC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400A"/>
    <w:multiLevelType w:val="hybridMultilevel"/>
    <w:tmpl w:val="672ECDCE"/>
    <w:lvl w:ilvl="0" w:tplc="7A14D6F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EC2714"/>
    <w:multiLevelType w:val="hybridMultilevel"/>
    <w:tmpl w:val="D9A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26F7A"/>
    <w:multiLevelType w:val="hybridMultilevel"/>
    <w:tmpl w:val="D960FA9A"/>
    <w:lvl w:ilvl="0" w:tplc="21D674EA">
      <w:numFmt w:val="bullet"/>
      <w:lvlText w:val=""/>
      <w:lvlJc w:val="left"/>
      <w:pPr>
        <w:ind w:left="7440" w:hanging="360"/>
      </w:pPr>
      <w:rPr>
        <w:rFonts w:ascii="Symbol" w:eastAsiaTheme="minorHAnsi" w:hAnsi="Symbol" w:cstheme="minorBidi" w:hint="default"/>
      </w:rPr>
    </w:lvl>
    <w:lvl w:ilvl="1" w:tplc="04050003" w:tentative="1">
      <w:start w:val="1"/>
      <w:numFmt w:val="bullet"/>
      <w:lvlText w:val="o"/>
      <w:lvlJc w:val="left"/>
      <w:pPr>
        <w:ind w:left="8160" w:hanging="360"/>
      </w:pPr>
      <w:rPr>
        <w:rFonts w:ascii="Courier New" w:hAnsi="Courier New" w:cs="Courier New" w:hint="default"/>
      </w:rPr>
    </w:lvl>
    <w:lvl w:ilvl="2" w:tplc="04050005" w:tentative="1">
      <w:start w:val="1"/>
      <w:numFmt w:val="bullet"/>
      <w:lvlText w:val=""/>
      <w:lvlJc w:val="left"/>
      <w:pPr>
        <w:ind w:left="8880" w:hanging="360"/>
      </w:pPr>
      <w:rPr>
        <w:rFonts w:ascii="Wingdings" w:hAnsi="Wingdings" w:hint="default"/>
      </w:rPr>
    </w:lvl>
    <w:lvl w:ilvl="3" w:tplc="04050001" w:tentative="1">
      <w:start w:val="1"/>
      <w:numFmt w:val="bullet"/>
      <w:lvlText w:val=""/>
      <w:lvlJc w:val="left"/>
      <w:pPr>
        <w:ind w:left="9600" w:hanging="360"/>
      </w:pPr>
      <w:rPr>
        <w:rFonts w:ascii="Symbol" w:hAnsi="Symbol" w:hint="default"/>
      </w:rPr>
    </w:lvl>
    <w:lvl w:ilvl="4" w:tplc="04050003" w:tentative="1">
      <w:start w:val="1"/>
      <w:numFmt w:val="bullet"/>
      <w:lvlText w:val="o"/>
      <w:lvlJc w:val="left"/>
      <w:pPr>
        <w:ind w:left="10320" w:hanging="360"/>
      </w:pPr>
      <w:rPr>
        <w:rFonts w:ascii="Courier New" w:hAnsi="Courier New" w:cs="Courier New" w:hint="default"/>
      </w:rPr>
    </w:lvl>
    <w:lvl w:ilvl="5" w:tplc="04050005" w:tentative="1">
      <w:start w:val="1"/>
      <w:numFmt w:val="bullet"/>
      <w:lvlText w:val=""/>
      <w:lvlJc w:val="left"/>
      <w:pPr>
        <w:ind w:left="11040" w:hanging="360"/>
      </w:pPr>
      <w:rPr>
        <w:rFonts w:ascii="Wingdings" w:hAnsi="Wingdings" w:hint="default"/>
      </w:rPr>
    </w:lvl>
    <w:lvl w:ilvl="6" w:tplc="04050001" w:tentative="1">
      <w:start w:val="1"/>
      <w:numFmt w:val="bullet"/>
      <w:lvlText w:val=""/>
      <w:lvlJc w:val="left"/>
      <w:pPr>
        <w:ind w:left="11760" w:hanging="360"/>
      </w:pPr>
      <w:rPr>
        <w:rFonts w:ascii="Symbol" w:hAnsi="Symbol" w:hint="default"/>
      </w:rPr>
    </w:lvl>
    <w:lvl w:ilvl="7" w:tplc="04050003" w:tentative="1">
      <w:start w:val="1"/>
      <w:numFmt w:val="bullet"/>
      <w:lvlText w:val="o"/>
      <w:lvlJc w:val="left"/>
      <w:pPr>
        <w:ind w:left="12480" w:hanging="360"/>
      </w:pPr>
      <w:rPr>
        <w:rFonts w:ascii="Courier New" w:hAnsi="Courier New" w:cs="Courier New" w:hint="default"/>
      </w:rPr>
    </w:lvl>
    <w:lvl w:ilvl="8" w:tplc="04050005" w:tentative="1">
      <w:start w:val="1"/>
      <w:numFmt w:val="bullet"/>
      <w:lvlText w:val=""/>
      <w:lvlJc w:val="left"/>
      <w:pPr>
        <w:ind w:left="13200" w:hanging="360"/>
      </w:pPr>
      <w:rPr>
        <w:rFonts w:ascii="Wingdings" w:hAnsi="Wingdings" w:hint="default"/>
      </w:rPr>
    </w:lvl>
  </w:abstractNum>
  <w:abstractNum w:abstractNumId="5" w15:restartNumberingAfterBreak="0">
    <w:nsid w:val="6E4D4A84"/>
    <w:multiLevelType w:val="hybridMultilevel"/>
    <w:tmpl w:val="C87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50139"/>
    <w:multiLevelType w:val="hybridMultilevel"/>
    <w:tmpl w:val="39E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F5D4C"/>
    <w:multiLevelType w:val="hybridMultilevel"/>
    <w:tmpl w:val="B6F8D17C"/>
    <w:lvl w:ilvl="0" w:tplc="E94488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1C"/>
    <w:rsid w:val="00003DD7"/>
    <w:rsid w:val="00017363"/>
    <w:rsid w:val="00025FB6"/>
    <w:rsid w:val="0003650A"/>
    <w:rsid w:val="00042BF1"/>
    <w:rsid w:val="00052A8B"/>
    <w:rsid w:val="00055F30"/>
    <w:rsid w:val="000666A6"/>
    <w:rsid w:val="00076077"/>
    <w:rsid w:val="0008754B"/>
    <w:rsid w:val="000925E9"/>
    <w:rsid w:val="00096983"/>
    <w:rsid w:val="000979AC"/>
    <w:rsid w:val="000B66B1"/>
    <w:rsid w:val="000D4C29"/>
    <w:rsid w:val="000D540A"/>
    <w:rsid w:val="000D63A0"/>
    <w:rsid w:val="000E04C0"/>
    <w:rsid w:val="000E1B8B"/>
    <w:rsid w:val="000E3E75"/>
    <w:rsid w:val="000E5B9E"/>
    <w:rsid w:val="000F64A7"/>
    <w:rsid w:val="000F76F6"/>
    <w:rsid w:val="00104A19"/>
    <w:rsid w:val="00107A4F"/>
    <w:rsid w:val="001260F7"/>
    <w:rsid w:val="001316CB"/>
    <w:rsid w:val="00132927"/>
    <w:rsid w:val="00156C4F"/>
    <w:rsid w:val="00160C12"/>
    <w:rsid w:val="001773FA"/>
    <w:rsid w:val="001A25C9"/>
    <w:rsid w:val="001C11C5"/>
    <w:rsid w:val="001C6320"/>
    <w:rsid w:val="001E781C"/>
    <w:rsid w:val="001F33E9"/>
    <w:rsid w:val="00203BAD"/>
    <w:rsid w:val="00210D9E"/>
    <w:rsid w:val="00222E94"/>
    <w:rsid w:val="00224BD7"/>
    <w:rsid w:val="0023223F"/>
    <w:rsid w:val="00234510"/>
    <w:rsid w:val="0025351D"/>
    <w:rsid w:val="0025490D"/>
    <w:rsid w:val="002710CA"/>
    <w:rsid w:val="00277461"/>
    <w:rsid w:val="00282EB7"/>
    <w:rsid w:val="0029158E"/>
    <w:rsid w:val="00293730"/>
    <w:rsid w:val="00296A48"/>
    <w:rsid w:val="002A1EA4"/>
    <w:rsid w:val="002A4C1F"/>
    <w:rsid w:val="002B4ED5"/>
    <w:rsid w:val="002C223D"/>
    <w:rsid w:val="002D32EE"/>
    <w:rsid w:val="002E4E30"/>
    <w:rsid w:val="002F703B"/>
    <w:rsid w:val="00305966"/>
    <w:rsid w:val="00307DF5"/>
    <w:rsid w:val="003544F4"/>
    <w:rsid w:val="00364A47"/>
    <w:rsid w:val="003A7681"/>
    <w:rsid w:val="003B5938"/>
    <w:rsid w:val="003D3836"/>
    <w:rsid w:val="003D5136"/>
    <w:rsid w:val="003E52FC"/>
    <w:rsid w:val="00400094"/>
    <w:rsid w:val="00401650"/>
    <w:rsid w:val="0040198F"/>
    <w:rsid w:val="00407F71"/>
    <w:rsid w:val="00417D6A"/>
    <w:rsid w:val="00422F39"/>
    <w:rsid w:val="0044103E"/>
    <w:rsid w:val="00442A20"/>
    <w:rsid w:val="004620C1"/>
    <w:rsid w:val="004628B8"/>
    <w:rsid w:val="00473290"/>
    <w:rsid w:val="0047685D"/>
    <w:rsid w:val="0048461F"/>
    <w:rsid w:val="00490CC1"/>
    <w:rsid w:val="00492022"/>
    <w:rsid w:val="00497A7B"/>
    <w:rsid w:val="004A3F84"/>
    <w:rsid w:val="004B0770"/>
    <w:rsid w:val="004C0529"/>
    <w:rsid w:val="004D3F03"/>
    <w:rsid w:val="004E224C"/>
    <w:rsid w:val="004F23F2"/>
    <w:rsid w:val="004F6CD1"/>
    <w:rsid w:val="00522041"/>
    <w:rsid w:val="00524577"/>
    <w:rsid w:val="005248AF"/>
    <w:rsid w:val="00560302"/>
    <w:rsid w:val="005876B3"/>
    <w:rsid w:val="00594FD4"/>
    <w:rsid w:val="0059512B"/>
    <w:rsid w:val="005A7AD8"/>
    <w:rsid w:val="005D1738"/>
    <w:rsid w:val="005D2FC4"/>
    <w:rsid w:val="005D7B61"/>
    <w:rsid w:val="005E6530"/>
    <w:rsid w:val="005F04E5"/>
    <w:rsid w:val="00607BA8"/>
    <w:rsid w:val="00627874"/>
    <w:rsid w:val="00631EE5"/>
    <w:rsid w:val="0067206B"/>
    <w:rsid w:val="00683FAD"/>
    <w:rsid w:val="00694952"/>
    <w:rsid w:val="006A0E80"/>
    <w:rsid w:val="006A7794"/>
    <w:rsid w:val="006B1331"/>
    <w:rsid w:val="006B6713"/>
    <w:rsid w:val="006D7D21"/>
    <w:rsid w:val="006E0DBA"/>
    <w:rsid w:val="006F188F"/>
    <w:rsid w:val="006F3164"/>
    <w:rsid w:val="006F6689"/>
    <w:rsid w:val="007022D7"/>
    <w:rsid w:val="00724239"/>
    <w:rsid w:val="00724607"/>
    <w:rsid w:val="007254EB"/>
    <w:rsid w:val="007271E8"/>
    <w:rsid w:val="007451BC"/>
    <w:rsid w:val="0074784B"/>
    <w:rsid w:val="00772B8C"/>
    <w:rsid w:val="00774299"/>
    <w:rsid w:val="00782486"/>
    <w:rsid w:val="00790E94"/>
    <w:rsid w:val="00791FDA"/>
    <w:rsid w:val="007A29A4"/>
    <w:rsid w:val="007A41A5"/>
    <w:rsid w:val="007A60E0"/>
    <w:rsid w:val="007B171A"/>
    <w:rsid w:val="007B4857"/>
    <w:rsid w:val="007B5939"/>
    <w:rsid w:val="007C4DBF"/>
    <w:rsid w:val="007C6EAF"/>
    <w:rsid w:val="007C7BDD"/>
    <w:rsid w:val="007D41C7"/>
    <w:rsid w:val="007D5B78"/>
    <w:rsid w:val="007E49CF"/>
    <w:rsid w:val="007F4EE9"/>
    <w:rsid w:val="007F5825"/>
    <w:rsid w:val="007F7CA8"/>
    <w:rsid w:val="00806405"/>
    <w:rsid w:val="00807D9B"/>
    <w:rsid w:val="0083562A"/>
    <w:rsid w:val="00842AD7"/>
    <w:rsid w:val="00843090"/>
    <w:rsid w:val="008523B9"/>
    <w:rsid w:val="008536BB"/>
    <w:rsid w:val="0086782C"/>
    <w:rsid w:val="00895A77"/>
    <w:rsid w:val="008A56C4"/>
    <w:rsid w:val="008E5EDD"/>
    <w:rsid w:val="008E6EBC"/>
    <w:rsid w:val="008F2C72"/>
    <w:rsid w:val="008F69E0"/>
    <w:rsid w:val="00900103"/>
    <w:rsid w:val="009101F1"/>
    <w:rsid w:val="0091209D"/>
    <w:rsid w:val="00937F21"/>
    <w:rsid w:val="0095501D"/>
    <w:rsid w:val="009662DD"/>
    <w:rsid w:val="00976EB6"/>
    <w:rsid w:val="00985B1D"/>
    <w:rsid w:val="009927E6"/>
    <w:rsid w:val="00992A68"/>
    <w:rsid w:val="009B0B53"/>
    <w:rsid w:val="009B275D"/>
    <w:rsid w:val="009C4D7B"/>
    <w:rsid w:val="009C58EF"/>
    <w:rsid w:val="009D2CCB"/>
    <w:rsid w:val="009D4494"/>
    <w:rsid w:val="009E21C9"/>
    <w:rsid w:val="009F3A64"/>
    <w:rsid w:val="009F60F9"/>
    <w:rsid w:val="009F6F8E"/>
    <w:rsid w:val="00A11E89"/>
    <w:rsid w:val="00A201A6"/>
    <w:rsid w:val="00A26B3B"/>
    <w:rsid w:val="00A566CD"/>
    <w:rsid w:val="00A621B4"/>
    <w:rsid w:val="00A63AC6"/>
    <w:rsid w:val="00A7418C"/>
    <w:rsid w:val="00A87D20"/>
    <w:rsid w:val="00A920FF"/>
    <w:rsid w:val="00A94E2A"/>
    <w:rsid w:val="00AA0669"/>
    <w:rsid w:val="00AB46F3"/>
    <w:rsid w:val="00AB56FE"/>
    <w:rsid w:val="00AD05F6"/>
    <w:rsid w:val="00AE6BFB"/>
    <w:rsid w:val="00B118D6"/>
    <w:rsid w:val="00B119A6"/>
    <w:rsid w:val="00B205AA"/>
    <w:rsid w:val="00B2287F"/>
    <w:rsid w:val="00B2454F"/>
    <w:rsid w:val="00B37A2C"/>
    <w:rsid w:val="00B529C1"/>
    <w:rsid w:val="00B64B61"/>
    <w:rsid w:val="00B702C3"/>
    <w:rsid w:val="00B71FD1"/>
    <w:rsid w:val="00B740A9"/>
    <w:rsid w:val="00B94314"/>
    <w:rsid w:val="00BA1D09"/>
    <w:rsid w:val="00BA68B9"/>
    <w:rsid w:val="00BB1498"/>
    <w:rsid w:val="00BB2A36"/>
    <w:rsid w:val="00BB3840"/>
    <w:rsid w:val="00BD28E9"/>
    <w:rsid w:val="00BD498A"/>
    <w:rsid w:val="00BD6C5B"/>
    <w:rsid w:val="00BE10A9"/>
    <w:rsid w:val="00BE25BB"/>
    <w:rsid w:val="00BF566A"/>
    <w:rsid w:val="00C10AF8"/>
    <w:rsid w:val="00C11D25"/>
    <w:rsid w:val="00C13658"/>
    <w:rsid w:val="00C14569"/>
    <w:rsid w:val="00C14D3E"/>
    <w:rsid w:val="00C37A90"/>
    <w:rsid w:val="00C41440"/>
    <w:rsid w:val="00C50F76"/>
    <w:rsid w:val="00C7614F"/>
    <w:rsid w:val="00C97899"/>
    <w:rsid w:val="00CA6AB6"/>
    <w:rsid w:val="00CC5A41"/>
    <w:rsid w:val="00CC6989"/>
    <w:rsid w:val="00CC75F6"/>
    <w:rsid w:val="00CD0391"/>
    <w:rsid w:val="00CD7BD8"/>
    <w:rsid w:val="00CE7D92"/>
    <w:rsid w:val="00CF107B"/>
    <w:rsid w:val="00D021B9"/>
    <w:rsid w:val="00D101D3"/>
    <w:rsid w:val="00D15DE1"/>
    <w:rsid w:val="00D27054"/>
    <w:rsid w:val="00D332F6"/>
    <w:rsid w:val="00D407FD"/>
    <w:rsid w:val="00D53F84"/>
    <w:rsid w:val="00D55781"/>
    <w:rsid w:val="00D64C7C"/>
    <w:rsid w:val="00D67704"/>
    <w:rsid w:val="00D734B6"/>
    <w:rsid w:val="00D87C04"/>
    <w:rsid w:val="00D87E59"/>
    <w:rsid w:val="00D97273"/>
    <w:rsid w:val="00D97794"/>
    <w:rsid w:val="00DA05B8"/>
    <w:rsid w:val="00DA089E"/>
    <w:rsid w:val="00DA325D"/>
    <w:rsid w:val="00DB0AD4"/>
    <w:rsid w:val="00DC35FC"/>
    <w:rsid w:val="00DC6278"/>
    <w:rsid w:val="00DE2E96"/>
    <w:rsid w:val="00DE32BA"/>
    <w:rsid w:val="00DF0415"/>
    <w:rsid w:val="00DF7E1C"/>
    <w:rsid w:val="00E028FF"/>
    <w:rsid w:val="00E0775F"/>
    <w:rsid w:val="00E1554A"/>
    <w:rsid w:val="00E15B83"/>
    <w:rsid w:val="00E15E54"/>
    <w:rsid w:val="00E20E4C"/>
    <w:rsid w:val="00E31BC5"/>
    <w:rsid w:val="00E42F8C"/>
    <w:rsid w:val="00E44996"/>
    <w:rsid w:val="00E64501"/>
    <w:rsid w:val="00E77EEF"/>
    <w:rsid w:val="00E829BF"/>
    <w:rsid w:val="00E85615"/>
    <w:rsid w:val="00EC082B"/>
    <w:rsid w:val="00EC345C"/>
    <w:rsid w:val="00EC57C2"/>
    <w:rsid w:val="00ED4692"/>
    <w:rsid w:val="00EE2F80"/>
    <w:rsid w:val="00EF32D1"/>
    <w:rsid w:val="00F06F2C"/>
    <w:rsid w:val="00F205DE"/>
    <w:rsid w:val="00F27281"/>
    <w:rsid w:val="00F300F7"/>
    <w:rsid w:val="00F301ED"/>
    <w:rsid w:val="00F408FE"/>
    <w:rsid w:val="00F51ECB"/>
    <w:rsid w:val="00F54A0D"/>
    <w:rsid w:val="00F6785D"/>
    <w:rsid w:val="00F75D7F"/>
    <w:rsid w:val="00F82BA1"/>
    <w:rsid w:val="00F85848"/>
    <w:rsid w:val="00F85D04"/>
    <w:rsid w:val="00F86763"/>
    <w:rsid w:val="00FB1BB6"/>
    <w:rsid w:val="00FC191B"/>
    <w:rsid w:val="00FD2630"/>
    <w:rsid w:val="00FE1EF0"/>
    <w:rsid w:val="00FE3E18"/>
    <w:rsid w:val="00FE61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1B6"/>
  <w15:docId w15:val="{87D04F32-A765-4FE3-A735-12FDC3A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603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E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22F39"/>
    <w:pPr>
      <w:ind w:left="720"/>
      <w:contextualSpacing/>
    </w:pPr>
  </w:style>
  <w:style w:type="paragraph" w:styleId="Textbubliny">
    <w:name w:val="Balloon Text"/>
    <w:basedOn w:val="Normln"/>
    <w:link w:val="TextbublinyChar"/>
    <w:uiPriority w:val="99"/>
    <w:semiHidden/>
    <w:unhideWhenUsed/>
    <w:rsid w:val="007246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4607"/>
    <w:rPr>
      <w:rFonts w:ascii="Segoe UI" w:hAnsi="Segoe UI" w:cs="Segoe UI"/>
      <w:sz w:val="18"/>
      <w:szCs w:val="18"/>
    </w:rPr>
  </w:style>
  <w:style w:type="character" w:styleId="Odkaznakoment">
    <w:name w:val="annotation reference"/>
    <w:basedOn w:val="Standardnpsmoodstavce"/>
    <w:uiPriority w:val="99"/>
    <w:semiHidden/>
    <w:unhideWhenUsed/>
    <w:rsid w:val="00492022"/>
    <w:rPr>
      <w:sz w:val="16"/>
      <w:szCs w:val="16"/>
    </w:rPr>
  </w:style>
  <w:style w:type="paragraph" w:styleId="Textkomente">
    <w:name w:val="annotation text"/>
    <w:basedOn w:val="Normln"/>
    <w:link w:val="TextkomenteChar"/>
    <w:uiPriority w:val="99"/>
    <w:semiHidden/>
    <w:unhideWhenUsed/>
    <w:rsid w:val="00492022"/>
    <w:pPr>
      <w:spacing w:after="160" w:line="240" w:lineRule="auto"/>
    </w:pPr>
    <w:rPr>
      <w:sz w:val="20"/>
      <w:szCs w:val="20"/>
      <w:lang w:val="pl-PL"/>
    </w:rPr>
  </w:style>
  <w:style w:type="character" w:customStyle="1" w:styleId="TextkomenteChar">
    <w:name w:val="Text komentáře Char"/>
    <w:basedOn w:val="Standardnpsmoodstavce"/>
    <w:link w:val="Textkomente"/>
    <w:uiPriority w:val="99"/>
    <w:semiHidden/>
    <w:rsid w:val="00492022"/>
    <w:rPr>
      <w:sz w:val="20"/>
      <w:szCs w:val="20"/>
      <w:lang w:val="pl-PL"/>
    </w:rPr>
  </w:style>
  <w:style w:type="character" w:styleId="Zdraznn">
    <w:name w:val="Emphasis"/>
    <w:basedOn w:val="Standardnpsmoodstavce"/>
    <w:uiPriority w:val="20"/>
    <w:qFormat/>
    <w:rsid w:val="002A1EA4"/>
    <w:rPr>
      <w:i/>
      <w:iCs/>
    </w:rPr>
  </w:style>
  <w:style w:type="paragraph" w:styleId="Pedmtkomente">
    <w:name w:val="annotation subject"/>
    <w:basedOn w:val="Textkomente"/>
    <w:next w:val="Textkomente"/>
    <w:link w:val="PedmtkomenteChar"/>
    <w:uiPriority w:val="99"/>
    <w:semiHidden/>
    <w:unhideWhenUsed/>
    <w:rsid w:val="000D540A"/>
    <w:pPr>
      <w:spacing w:after="200"/>
    </w:pPr>
    <w:rPr>
      <w:b/>
      <w:bCs/>
      <w:lang w:val="cs-CZ"/>
    </w:rPr>
  </w:style>
  <w:style w:type="character" w:customStyle="1" w:styleId="PedmtkomenteChar">
    <w:name w:val="Předmět komentáře Char"/>
    <w:basedOn w:val="TextkomenteChar"/>
    <w:link w:val="Pedmtkomente"/>
    <w:uiPriority w:val="99"/>
    <w:semiHidden/>
    <w:rsid w:val="000D540A"/>
    <w:rPr>
      <w:b/>
      <w:bCs/>
      <w:sz w:val="20"/>
      <w:szCs w:val="20"/>
      <w:lang w:val="pl-PL"/>
    </w:rPr>
  </w:style>
  <w:style w:type="paragraph" w:styleId="Textpoznpodarou">
    <w:name w:val="footnote text"/>
    <w:basedOn w:val="Normln"/>
    <w:link w:val="TextpoznpodarouChar"/>
    <w:uiPriority w:val="99"/>
    <w:semiHidden/>
    <w:unhideWhenUsed/>
    <w:rsid w:val="00B71FD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71FD1"/>
    <w:rPr>
      <w:sz w:val="20"/>
      <w:szCs w:val="20"/>
    </w:rPr>
  </w:style>
  <w:style w:type="character" w:styleId="Znakapoznpodarou">
    <w:name w:val="footnote reference"/>
    <w:basedOn w:val="Standardnpsmoodstavce"/>
    <w:uiPriority w:val="99"/>
    <w:semiHidden/>
    <w:unhideWhenUsed/>
    <w:rsid w:val="00B71FD1"/>
    <w:rPr>
      <w:vertAlign w:val="superscript"/>
    </w:rPr>
  </w:style>
  <w:style w:type="character" w:customStyle="1" w:styleId="Nadpis1Char">
    <w:name w:val="Nadpis 1 Char"/>
    <w:basedOn w:val="Standardnpsmoodstavce"/>
    <w:link w:val="Nadpis1"/>
    <w:uiPriority w:val="9"/>
    <w:rsid w:val="00560302"/>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1361">
      <w:bodyDiv w:val="1"/>
      <w:marLeft w:val="0"/>
      <w:marRight w:val="0"/>
      <w:marTop w:val="0"/>
      <w:marBottom w:val="0"/>
      <w:divBdr>
        <w:top w:val="none" w:sz="0" w:space="0" w:color="auto"/>
        <w:left w:val="none" w:sz="0" w:space="0" w:color="auto"/>
        <w:bottom w:val="none" w:sz="0" w:space="0" w:color="auto"/>
        <w:right w:val="none" w:sz="0" w:space="0" w:color="auto"/>
      </w:divBdr>
    </w:div>
    <w:div w:id="1136946325">
      <w:bodyDiv w:val="1"/>
      <w:marLeft w:val="0"/>
      <w:marRight w:val="0"/>
      <w:marTop w:val="0"/>
      <w:marBottom w:val="0"/>
      <w:divBdr>
        <w:top w:val="none" w:sz="0" w:space="0" w:color="auto"/>
        <w:left w:val="none" w:sz="0" w:space="0" w:color="auto"/>
        <w:bottom w:val="none" w:sz="0" w:space="0" w:color="auto"/>
        <w:right w:val="none" w:sz="0" w:space="0" w:color="auto"/>
      </w:divBdr>
    </w:div>
    <w:div w:id="18442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E726F7062C447AE92F5EC2347A871" ma:contentTypeVersion="8" ma:contentTypeDescription="Create a new document." ma:contentTypeScope="" ma:versionID="3fa5ca356903df77fd195c3d0f595bbe">
  <xsd:schema xmlns:xsd="http://www.w3.org/2001/XMLSchema" xmlns:xs="http://www.w3.org/2001/XMLSchema" xmlns:p="http://schemas.microsoft.com/office/2006/metadata/properties" xmlns:ns2="23b86c8f-3a39-4923-aca1-c6fa52438cad" xmlns:ns3="abe4f664-13a3-4e04-ada7-e7529c7f7e3a" targetNamespace="http://schemas.microsoft.com/office/2006/metadata/properties" ma:root="true" ma:fieldsID="fc6401f4a8fb47cb782021eed99ce31e" ns2:_="" ns3:_="">
    <xsd:import namespace="23b86c8f-3a39-4923-aca1-c6fa52438cad"/>
    <xsd:import namespace="abe4f664-13a3-4e04-ada7-e7529c7f7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86c8f-3a39-4923-aca1-c6fa5243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4f664-13a3-4e04-ada7-e7529c7f7e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49C6-36FF-4FA6-BBD5-7B72D543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86c8f-3a39-4923-aca1-c6fa52438cad"/>
    <ds:schemaRef ds:uri="abe4f664-13a3-4e04-ada7-e7529c7f7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CA328-4C9F-4292-AC6C-B75674656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14332-82DF-4F70-B961-E3980A5667B9}">
  <ds:schemaRefs>
    <ds:schemaRef ds:uri="http://schemas.microsoft.com/sharepoint/v3/contenttype/forms"/>
  </ds:schemaRefs>
</ds:datastoreItem>
</file>

<file path=customXml/itemProps4.xml><?xml version="1.0" encoding="utf-8"?>
<ds:datastoreItem xmlns:ds="http://schemas.openxmlformats.org/officeDocument/2006/customXml" ds:itemID="{D0A3CFFF-3962-4ADE-8E6C-0D47137E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593</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Novartis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CHudárková</dc:creator>
  <cp:lastModifiedBy>Marek Nezkusil (SIR CZ)</cp:lastModifiedBy>
  <cp:revision>92</cp:revision>
  <dcterms:created xsi:type="dcterms:W3CDTF">2020-12-10T20:07:00Z</dcterms:created>
  <dcterms:modified xsi:type="dcterms:W3CDTF">2020-12-17T15:14:00Z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0x0101006AFE726F7062C447AE92F5EC2347A871</vt:lpwstr>
  </property>
</Properties>
</file>